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5C1BDF" w14:textId="77777777" w:rsidR="00CF3212" w:rsidRDefault="00000000">
      <w:pPr>
        <w:pStyle w:val="Title"/>
      </w:pPr>
      <w:r>
        <w:t>JMIR-Style Methods and Supplementary Methods</w:t>
      </w:r>
    </w:p>
    <w:p w14:paraId="33A61BB8" w14:textId="77777777" w:rsidR="00CF3212" w:rsidRDefault="00000000">
      <w:pPr>
        <w:pStyle w:val="Subtitle"/>
      </w:pPr>
      <w:r>
        <w:t>Treatment-resistant depression prediction from structured and embedded EHR representations</w:t>
      </w:r>
    </w:p>
    <w:p w14:paraId="0682364B" w14:textId="77777777" w:rsidR="00CF3212" w:rsidRDefault="00000000">
      <w:pPr>
        <w:shd w:val="clear" w:color="auto" w:fill="F4F6F9"/>
        <w:spacing w:before="240" w:after="240" w:line="276" w:lineRule="auto"/>
        <w:ind w:left="173" w:right="173"/>
      </w:pPr>
      <w:r>
        <w:rPr>
          <w:color w:val="364A5E"/>
          <w:sz w:val="19"/>
        </w:rPr>
        <w:t>Document structure: concise main-manuscript Methods followed by a reproducibility-focused multimedia appendix. Existing table, figure, citation, and appendix numbering is retained where referenced.</w:t>
      </w:r>
    </w:p>
    <w:p w14:paraId="4C69838F" w14:textId="77777777" w:rsidR="00CF3212" w:rsidRDefault="00000000">
      <w:pPr>
        <w:pStyle w:val="Heading1"/>
      </w:pPr>
      <w:r>
        <w:t>Methods</w:t>
      </w:r>
    </w:p>
    <w:p w14:paraId="06E8D427" w14:textId="77777777" w:rsidR="00CF3212" w:rsidRDefault="00000000">
      <w:pPr>
        <w:pStyle w:val="Heading2"/>
      </w:pPr>
      <w:r>
        <w:t>Study Design and Data Source</w:t>
      </w:r>
    </w:p>
    <w:p w14:paraId="2D1F8F6C" w14:textId="77777777" w:rsidR="00CF3212" w:rsidRDefault="00000000">
      <w:r>
        <w:t>We conducted a retrospective cohort study using a frozen, de-identified extract from the Epic electronic health record (EHR) of Saint Francis Health System, a community health system in Tulsa, Oklahoma. The extract included person, encounter, diagnosis, medication, procedure, laboratory/flowsheet, and medication-to-RxNorm mapping data. Patient and encounter identifiers were replaced with one-way hashes before transfer, and no direct identifiers or dates of birth were provided.</w:t>
      </w:r>
    </w:p>
    <w:p w14:paraId="2ECDDF01" w14:textId="77777777" w:rsidR="00CF3212" w:rsidRDefault="00000000">
      <w:r>
        <w:t>The delivered extract was case enriched rather than a census of the health system: all patients with a depression code on the problem list were retained, together with a random sample of patients without that flag at an approximate 4:1 ratio. The extract contained 501,718 patients, including 100,420 (20.0%) with and 401,298 (80.0%) without a problem-list depression flag. Eligibility for the analytic cohort was determined from encounter-level diagnoses rather than the problem-list sampling flag. Consequently, 12,530 of the 42,579 eligible patients (29.4%) entered through the randomly sampled group. Cohort proportions therefore describe this enriched sample and should not be interpreted as health-system prevalence estimates.</w:t>
      </w:r>
    </w:p>
    <w:p w14:paraId="2AF0E8C1" w14:textId="77777777" w:rsidR="00CF3212" w:rsidRDefault="00000000">
      <w:r>
        <w:t>All analyses used data version DV260629v1 and patient version PV260710v1. Source files were cut on June 29, 2026, and analysis-ready tables were created on July 10, 2026; no subsequent data refresh entered the study. Patient index dates spanned 2016-2024. The study used a random internal validation split from the same source and period, not temporal or external validation. Additional information on the source tables, sampling frame, diagnosis code sets, and data versions is provided in Multimedia Appendix 1, Sections S1-S2.</w:t>
      </w:r>
    </w:p>
    <w:p w14:paraId="771E0136" w14:textId="77777777" w:rsidR="00CF3212" w:rsidRDefault="00000000">
      <w:pPr>
        <w:pStyle w:val="Heading2"/>
      </w:pPr>
      <w:r>
        <w:t>Participants, Index Date, and Temporal Windows</w:t>
      </w:r>
    </w:p>
    <w:p w14:paraId="5521714C" w14:textId="77777777" w:rsidR="00CF3212" w:rsidRDefault="00000000">
      <w:r>
        <w:t xml:space="preserve">Patients were included if they had a qualifying major depressive disorder (MDD) diagnosis, no bipolar disorder or schizophrenia-spectrum diagnosis, an eligible antidepressant index </w:t>
      </w:r>
      <w:r>
        <w:lastRenderedPageBreak/>
        <w:t>prescription, an MDD diagnosis on or before that prescription, at least 730 days of pre-index EHR history, and at least 365 days of post-index follow-up. These criteria yielded 42,579 patients. The eligibility cascade and rejection reasons should be reported in Table 1.</w:t>
      </w:r>
    </w:p>
    <w:p w14:paraId="7F045409" w14:textId="77777777" w:rsidR="00CF3212" w:rsidRDefault="00000000">
      <w:r>
        <w:t>The index date was the start date of each patient's earliest antidepressant prescription recorded on or after the first documented depression diagnosis. Each patient contributed one index date. The prediction point coincided with the prescription date; index eligibility did not depend on subsequent dose, duration, response, or treatment changes. Predictors were computed only from the 730-day lookback window ending on the index date. Post-index data were used only to confirm 365 days of follow-up and to ascertain the outcome during that period. Prior antidepressant exposure was retained as a predictor rather than used as an exclusion criterion. Therefore, the index prescription was the first antidepressant linked to a documented depression diagnosis in the available record, not necessarily the patient's first lifetime exposure or first adequate trial. Figure 1 summarizes the temporal design; full index-selection rules are given in Multimedia Appendix 1, Section S2.</w:t>
      </w:r>
    </w:p>
    <w:p w14:paraId="6418DEE5" w14:textId="77777777" w:rsidR="00CF3212" w:rsidRDefault="00000000">
      <w:pPr>
        <w:pStyle w:val="Heading2"/>
      </w:pPr>
      <w:r>
        <w:t>Outcome</w:t>
      </w:r>
    </w:p>
    <w:p w14:paraId="292BDA2C" w14:textId="77777777" w:rsidR="00CF3212" w:rsidRDefault="00000000">
      <w:r>
        <w:t>The prediction target was a predefined EHR proxy for incident treatment-resistant depression (TRD), generated upstream and used without modification. Consistent with the operational definition used by Forthman et al [20], patients with MDD were classified as TRD positive if they received at least 3 distinct antidepressant treatments during the 365 days after the index date, including the index agent as the first treatment. Equivalently, the outcome required at least 2 post-index antidepressant changes. A treatment was a distinct antidepressant agent rather than a prescribing event; augmentation without replacement and restarting a previously used agent did not increment the count.</w:t>
      </w:r>
    </w:p>
    <w:p w14:paraId="125DA1CE" w14:textId="77777777" w:rsidR="00CF3212" w:rsidRDefault="00000000">
      <w:r>
        <w:t>This outcome is a treatment-switch proxy rather than direct evidence of inadequate response to 2 adequate trials. Symptom response was not systematically available, and dose and duration adequacy were not verified for the counted treatments. Switching may therefore reflect nonresponse, intolerance, adverse effects, cost, insurance constraints, fragmented care, patient preference, or prescriber practice. The label was not validated against chart review or standardized symptom measures. These inferential boundaries and proposed validation analyses are detailed in Multimedia Appendix 1, Section S3.</w:t>
      </w:r>
    </w:p>
    <w:p w14:paraId="2D150AD1" w14:textId="77777777" w:rsidR="00CF3212" w:rsidRDefault="00000000">
      <w:pPr>
        <w:pStyle w:val="Heading2"/>
      </w:pPr>
      <w:r>
        <w:t>Predictors and Patient Representations</w:t>
      </w:r>
    </w:p>
    <w:p w14:paraId="1B4CC97F" w14:textId="77777777" w:rsidR="00CF3212" w:rsidRDefault="00000000">
      <w:r>
        <w:t>Predictors were specified a priori on clinical and prior-literature grounds before model fitting or inspection of outcome associations. Domains included depression characteristics, psychiatric and substance-use comorbidity, medical comorbidity, prior antidepressant exposure and medication burden, prescribing constraints, health care utilization, and sociodemographic and social-determinant variables [4-7]. Only structured EHR fields available within the pre-index window were used.</w:t>
      </w:r>
    </w:p>
    <w:p w14:paraId="6BDAD13F" w14:textId="77777777" w:rsidR="00CF3212" w:rsidRDefault="00000000">
      <w:r>
        <w:lastRenderedPageBreak/>
        <w:t>Each patient's timeline-sliced record was converted independently into 2 representations. The typed feature representation (FEATURE) assigned explicit data types to continuous variables, binary and multilabel indicators, and nominal categorical variables. Continuous variables included age, utilization and duration measures, medication burden, and counts of adequate antidepressant trials, with an adequate trial defined as at least 42 days of continuous exposure to an agent. After categorical expansion and exclusion of 3 vital-sign variables for missingness, the FEATURE matrix contained 92 columns.</w:t>
      </w:r>
    </w:p>
    <w:p w14:paraId="449A3BFF" w14:textId="77777777" w:rsidR="00CF3212" w:rsidRDefault="00000000">
      <w:r>
        <w:t>For the embedded representation (EMBEDDED), the same pre-index record was deterministically rendered as a human-readable Markdown narrative and encoded as a fixed-length dense vector. Narrative construction used predefined rules and no generative model, ensuring that every statement was traceable to the structured record. Four pretrained sentence-transformer encoders were evaluated independently: bge-small-en-v1.5 [12], bge-en-icl [13], Qwen3-Embedding-4B, and Qwen3-Embedding-8B [14], with Qwen3-Embedding-8B designated as the primary encoder. The 2 representations were derived from the same temporal slice but did not contain identical field inventories; therefore, head-to-head performance comparisons estimate the performance of the complete representation pipelines rather than the isolated effect of data format. The full encoding rules and field-level crosswalk are described in Multimedia Appendix 1, Sections S4-S5.</w:t>
      </w:r>
    </w:p>
    <w:p w14:paraId="6BFC84DE" w14:textId="77777777" w:rsidR="00CF3212" w:rsidRDefault="00000000">
      <w:pPr>
        <w:pStyle w:val="Heading2"/>
      </w:pPr>
      <w:r>
        <w:t>Missing Data and Sample Partition</w:t>
      </w:r>
    </w:p>
    <w:p w14:paraId="518233AE" w14:textId="77777777" w:rsidR="00CF3212" w:rsidRDefault="00000000">
      <w:r>
        <w:t>No statistical imputation was performed. Mean body mass index and mean systolic and diastolic blood pressure were excluded because of substantial and outcome-associated missingness. Missing categorical values were retained as an explicit category in FEATURE and as the literal token "Missing" in EMBEDDED. No missing continuous values reached the estimators. Detailed missingness frequencies and rationale are provided in Multimedia Appendix 1, Section S6.</w:t>
      </w:r>
    </w:p>
    <w:p w14:paraId="0B057DCB" w14:textId="77777777" w:rsidR="00CF3212" w:rsidRDefault="00000000">
      <w:r>
        <w:t>We created one stratified 80:20 train-test split and used it for every evaluation arm. The training set comprised 34,063 patients, including 5,964 TRD-positive patients (17.5%); the held-out test set comprised 8,516 patients, including 1,491 TRD-positive patients (17.5%). Across 100 predictor rows, the maximum absolute standardized mean difference between the 2 sets was 0.036. For retrieval analyses, only training patients were placed in the searchable neighbor pool; test patients served solely as query anchors, preventing self-retrieval and use of any test outcome as a neighbor label. Events-per-variable calculations and further leakage safeguards appear in Multimedia Appendix 1, Sections S7-S8.</w:t>
      </w:r>
    </w:p>
    <w:p w14:paraId="6CB79794" w14:textId="77777777" w:rsidR="00CF3212" w:rsidRDefault="00000000">
      <w:pPr>
        <w:pStyle w:val="Heading2"/>
      </w:pPr>
      <w:r>
        <w:t>Model Development</w:t>
      </w:r>
    </w:p>
    <w:p w14:paraId="5A3F09DE" w14:textId="77777777" w:rsidR="00CF3212" w:rsidRDefault="00000000">
      <w:pPr>
        <w:pStyle w:val="Heading3"/>
      </w:pPr>
      <w:r>
        <w:t>Standard Machine Learning</w:t>
      </w:r>
    </w:p>
    <w:p w14:paraId="3F6A624A" w14:textId="77777777" w:rsidR="00CF3212" w:rsidRDefault="00000000">
      <w:r>
        <w:t xml:space="preserve">Logistic regression, random forest, gradient boosting, and XGBoost classifiers were trained separately on each representation. For FEATURE, a column transformer standardized </w:t>
      </w:r>
      <w:r>
        <w:lastRenderedPageBreak/>
        <w:t>continuous variables, one-hot encoded categorical variables while ignoring unseen levels at inference, and cast Boolean variables to integers. EMBEDDED was processed as an all-numeric block. Preprocessing and estimation were combined within a single pipeline and tuned using 5-fold cross-validated grid search in the training set, optimizing area under the receiver operating characteristic curve (ROC AUC). On every fold, fitted preprocessing parameters and category vocabularies were estimated from that fold's training rows only. The best cross-validated estimator was refit on the full training set and generated probabilities for the untouched test set.</w:t>
      </w:r>
    </w:p>
    <w:p w14:paraId="6F498626" w14:textId="77777777" w:rsidR="00CF3212" w:rsidRDefault="00000000">
      <w:pPr>
        <w:pStyle w:val="Heading3"/>
      </w:pPr>
      <w:r>
        <w:t>Neighbor-Weighted Retrieval Prediction</w:t>
      </w:r>
    </w:p>
    <w:p w14:paraId="72AC54C4" w14:textId="77777777" w:rsidR="00CF3212" w:rsidRDefault="00000000">
      <w:r>
        <w:t>For EMBEDDED only, we also estimated risk as the weighted mean of TRD labels among retrieved training-set neighbors. Weighting was uniform, based on cosine similarity, based on an outcome-blind clinical-similarity score from MedGemma-27B [15], or based on the harmonic mean of cosine and model-derived similarity. Retrieval schemes selected the nearest, farthest, random, or nearest neighbors within a randomly subsampled candidate pool. The large language model judge compared deterministic narratives using a fixed 6-domain rubric and returned a structured 0-100 similarity score, rescaled to 0-1; it did not receive or predict patient outcomes. Detailed equations, prompts, retrieval controls, and the evaluation grid are provided in Multimedia Appendix 1, Sections S9-S10.</w:t>
      </w:r>
    </w:p>
    <w:p w14:paraId="583CD1DF" w14:textId="77777777" w:rsidR="00CF3212" w:rsidRDefault="00000000">
      <w:pPr>
        <w:pStyle w:val="Heading3"/>
      </w:pPr>
      <w:r>
        <w:t>Semantic-Feature Ablation</w:t>
      </w:r>
    </w:p>
    <w:p w14:paraId="304C3CCB" w14:textId="77777777" w:rsidR="00CF3212" w:rsidRDefault="00000000">
      <w:r>
        <w:t>To estimate direct reliance of the embedded pipeline on selected concepts, we permuted 1 narrative section or field at a time across patients, re-embedded the perturbed narratives, and applied the already-trained classifiers without retraining. Permutation preserved each concept's marginal distribution while severing its patient-level association with outcome. The tested concepts were psychiatric history, medication burden, prior treatment exposure, treatment contraindications, race/ethnicity, and social determinants of health. Change in ROC AUC relative to the unperturbed model quantified direct-input reliance. This analysis was not designed to establish fairness, rule out reconstruction of a permuted concept from correlated fields, or evaluate subgroup calibration. Specifications are provided in Multimedia Appendix 1, Section S11.</w:t>
      </w:r>
    </w:p>
    <w:p w14:paraId="77C4F6FC" w14:textId="77777777" w:rsidR="00CF3212" w:rsidRDefault="00000000">
      <w:pPr>
        <w:pStyle w:val="Heading2"/>
      </w:pPr>
      <w:r>
        <w:t>Statistical Analysis and Performance Metrics</w:t>
      </w:r>
    </w:p>
    <w:p w14:paraId="5A440713" w14:textId="77777777" w:rsidR="00CF3212" w:rsidRDefault="00000000">
      <w:r>
        <w:t>Performance in the held-out test set was characterized using ROC AUC; calibration slope and intercept; and sensitivity, specificity, and positive and negative likelihood ratios at the threshold maximizing Youden J. Because that threshold was selected and evaluated in the same test set, operating-point estimates are descriptive and optimistic rather than deployable clinical thresholds. Calibration estimates apply to the case-enriched cohort's outcome frequency and were not recalibrated to population prevalence.</w:t>
      </w:r>
    </w:p>
    <w:p w14:paraId="7ED04289" w14:textId="77777777" w:rsidR="00CF3212" w:rsidRDefault="00000000">
      <w:r>
        <w:lastRenderedPageBreak/>
        <w:t>Confidence intervals were estimated by nonparametric bootstrap resampling of patients in the test set. Differences in ROC AUC between unperturbed and ablated models and between FEATURE and EMBEDDED were evaluated using paired bootstrap resampling: each draw used the same resampled patients for both prediction vectors before computing their AUC difference. Classifier-matched contrasts held the learner fixed and varied the representation; a post hoc best-versus-best comparison was treated as descriptive. No equivalence or noninferiority margin was prespecified; an interval containing zero was interpreted as absence of evidence for superiority, not evidence of equivalence. Additional details are provided in Multimedia Appendix 1, Section S12.</w:t>
      </w:r>
    </w:p>
    <w:p w14:paraId="16956B6C" w14:textId="77777777" w:rsidR="00CF3212" w:rsidRDefault="00000000">
      <w:pPr>
        <w:pStyle w:val="Heading2"/>
      </w:pPr>
      <w:r>
        <w:t>Reproducibility and Software</w:t>
      </w:r>
    </w:p>
    <w:p w14:paraId="7D46C60D" w14:textId="77777777" w:rsidR="00CF3212" w:rsidRDefault="00000000">
      <w:r>
        <w:t>All random processes were seeded. Analyses were implemented in Python using scikit-learn [16], XGBoost [17], and sentence-transformer encoders [11]. Analysis code is available at https://github.com/Pirate-Hunter-Zoro/TRD-EHR. Software and data provenance details are provided in Multimedia Appendix 1, Section S13.</w:t>
      </w:r>
    </w:p>
    <w:p w14:paraId="1F28ED4A" w14:textId="77777777" w:rsidR="00CF3212" w:rsidRDefault="00000000">
      <w:r>
        <w:br w:type="page"/>
      </w:r>
    </w:p>
    <w:p w14:paraId="0024006F" w14:textId="77777777" w:rsidR="00CF3212" w:rsidRDefault="00000000">
      <w:pPr>
        <w:pStyle w:val="Heading1"/>
      </w:pPr>
      <w:r>
        <w:lastRenderedPageBreak/>
        <w:t>Multimedia Appendix 1</w:t>
      </w:r>
    </w:p>
    <w:p w14:paraId="00315FEB" w14:textId="77777777" w:rsidR="00CF3212" w:rsidRDefault="00000000">
      <w:pPr>
        <w:pStyle w:val="Subtitle"/>
        <w:spacing w:after="240"/>
      </w:pPr>
      <w:r>
        <w:rPr>
          <w:rFonts w:ascii="Arial" w:hAnsi="Arial"/>
        </w:rPr>
        <w:t>Supplementary Methods</w:t>
      </w:r>
    </w:p>
    <w:p w14:paraId="013979B1" w14:textId="77777777" w:rsidR="00CF3212" w:rsidRDefault="00000000">
      <w:pPr>
        <w:pStyle w:val="Heading2"/>
      </w:pPr>
      <w:r>
        <w:t>S1. Source Data, Setting, and Sampling Frame</w:t>
      </w:r>
    </w:p>
    <w:p w14:paraId="14FE2973" w14:textId="77777777" w:rsidR="00CF3212" w:rsidRDefault="00000000">
      <w:r>
        <w:t>The study used a single de-identified extract from the Epic EHR of Saint Francis Health System. Seven files were delivered: person, encounter, diagnosis, medication, procedure, laboratory/flowsheet, and medication-to-RxNorm mapping tables. The clinical tables originated from the Caboodle enterprise data warehouse; the RxNorm mapping originated from the Clarity reporting database. Body mass index and systolic and diastolic blood pressure were obtained from the laboratory/flowsheet table. Each table was delivered as a flat file after patient and encounter keys had been replaced by one-way MD5 hashes and was transferred by secure file transfer protocol. No names, medical record numbers, direct identifiers, or dates of birth were included.</w:t>
      </w:r>
    </w:p>
    <w:p w14:paraId="7588CA6B" w14:textId="77777777" w:rsidR="00CF3212" w:rsidRDefault="00000000">
      <w:r>
        <w:t>The delivering data team restricted the person table to 1 administrative division and to patients who were current, valid, non-test, nonhistorical, not recorded as deceased, and aged 18-110 years at extraction. Eligible source encounters were completed on or before extraction, had at least 1 associated diagnosis, and had an inpatient, outpatient, observation, or emergency patient class.</w:t>
      </w:r>
    </w:p>
    <w:p w14:paraId="1BCA57C3" w14:textId="77777777" w:rsidR="00CF3212" w:rsidRDefault="00000000">
      <w:r>
        <w:t>Investigators prespecified diagnosis code lists. Depression comprised ICD-9 codes 296.2, 296.3, 300.4, and 311 or ICD-10 codes F32.*, F33.*, and F34.1. Bipolar disorder comprised ICD-9 codes 296.0 and 296.4-296.8 or ICD-10 codes F30.* and F31.*. Schizophrenia-spectrum disorders comprised ICD-9 codes 295.* and 298.* or ICD-10 codes F20.*, F23.*, F25.*, F28.*, and F29.*.</w:t>
      </w:r>
    </w:p>
    <w:p w14:paraId="3C95A2E4" w14:textId="77777777" w:rsidR="00CF3212" w:rsidRDefault="00000000">
      <w:r>
        <w:t>The extract was assembled as a case-enriched sample. All patients with a depression diagnosis on the problem list were retained, and a random sample of patients without that flag was added at an approximate 4:1 unflagged-to-flagged ratio. The remaining tables were then linked to the person table. The delivered extract included 501,718 patients: 100,420 (20.0%) with and 401,298 (80.0%) without a problem-list depression flag.</w:t>
      </w:r>
    </w:p>
    <w:p w14:paraId="5396D081" w14:textId="77777777" w:rsidR="00CF3212" w:rsidRDefault="00000000">
      <w:r>
        <w:t>Sampling used the problem list, whereas study eligibility used diagnoses recorded at individual encounters. Because routine-care problem lists are incompletely updated, the 2 sources overlap without either containing the other. Of 42,579 analytic-cohort patients, 12,530 (29.4%) qualified through an encounter-level depression diagnosis despite lacking the problem-list flag and therefore entered through the randomly sampled group. The analytic cohort is consequently a sample, not an enumeration, of patients with depression in the health system. Cohort TRD and subgroup proportions should not be interpreted as population prevalence. The paired comparison between representations remains internally valid because both were evaluated in the same patients and held-out split.</w:t>
      </w:r>
    </w:p>
    <w:p w14:paraId="5BC9D03C" w14:textId="77777777" w:rsidR="00CF3212" w:rsidRDefault="00000000">
      <w:r>
        <w:lastRenderedPageBreak/>
        <w:t>The setting was a single community health system in Tulsa, Oklahoma, serving inpatient, outpatient, observation, and emergency care. Patients entered through routine antidepressant prescribing across those settings, rather than psychiatric specialty referral. This single-center metropolitan setting limits transportability and should be addressed in the Discussion.</w:t>
      </w:r>
    </w:p>
    <w:p w14:paraId="684672CC" w14:textId="77777777" w:rsidR="00CF3212" w:rsidRDefault="00000000">
      <w:pPr>
        <w:pStyle w:val="Heading2"/>
      </w:pPr>
      <w:r>
        <w:t>S2. Eligibility Cascade, Index Selection, and Temporal Design</w:t>
      </w:r>
    </w:p>
    <w:p w14:paraId="71AEF69D" w14:textId="77777777" w:rsidR="00CF3212" w:rsidRDefault="00000000">
      <w:r>
        <w:t>Eligibility was applied hierarchically from the full delivered extract. Patients were required to have: (1) a qualifying MDD diagnosis; (2) no bipolar-disorder diagnosis; (3) no schizophrenia-spectrum diagnosis; (4) an eligible antidepressant index prescription; (5) an MDD diagnosis on or before the index date; (6) at least 730 days of pre-index history; and (7) at least 365 days of post-index follow-up. Patients failing chronological or observation prerequisites were assigned explicit rejection reasons for attrition accounting.</w:t>
      </w:r>
    </w:p>
    <w:p w14:paraId="6037E490" w14:textId="77777777" w:rsidR="00CF3212" w:rsidRDefault="00000000">
      <w:r>
        <w:t>Upstream data preparation assembled, for each patient, all antidepressant medication orders beginning on or after the date of the first documented depression diagnosis. The earliest start date in that set defined the index date, with 1 index per patient. Among candidate index orders, 57.9% began on the same date as the first recorded depression diagnosis.</w:t>
      </w:r>
    </w:p>
    <w:p w14:paraId="5B4847FF" w14:textId="77777777" w:rsidR="00CF3212" w:rsidRDefault="00000000">
      <w:r>
        <w:t>No post-index property was used to qualify the index exposure. Dose adequacy, exposure duration, subsequent response, and treatment changes were not considered. Thus, the prediction point was the moment the prescription was written. Post-index data entered only through the requirement for at least 365 days of follow-up and outcome ascertainment during those 365 days. Predictors used only information within the 730 days ending on the index date. Although recorded history extended further back for many patients (median, 1,792 days), clinical content outside the fixed lookback window was not read; total recorded history length was itself retained as a predictor.</w:t>
      </w:r>
    </w:p>
    <w:p w14:paraId="7EFED9C0" w14:textId="77777777" w:rsidR="00CF3212" w:rsidRDefault="00000000">
      <w:r>
        <w:t>Antidepressant exposure before the index date did not exclude a patient. Because the index was tied to the first documented depression diagnosis rather than the first antidepressant exposure, 24.0% of the cohort had some recorded pre-index antidepressant exposure and 14.7% had at least 1 pre-index course meeting the 42-day threshold used for adequate-trial predictors. The index is therefore best described as the first antidepressant prescription after a documented depression diagnosis, not as the first antidepressant treatment or first adequate trial.</w:t>
      </w:r>
    </w:p>
    <w:p w14:paraId="11F48BF8" w14:textId="77777777" w:rsidR="00CF3212" w:rsidRDefault="00000000">
      <w:pPr>
        <w:pStyle w:val="Heading2"/>
      </w:pPr>
      <w:r>
        <w:t>S3. Outcome Construction and Inferential Boundary</w:t>
      </w:r>
    </w:p>
    <w:p w14:paraId="6DAA6E40" w14:textId="77777777" w:rsidR="00CF3212" w:rsidRDefault="00000000">
      <w:r>
        <w:t>The binary outcome was generated in the upstream R data-preparation pipeline independently of the predictors and supplied to the modeling workflow as a fixed label. TRD was assigned when a patient with MDD received at least 3 distinct antidepressant treatments within 365 days of the index date, including the index agent. Patients with fewer than 3 treatments were classified as TRD negative.</w:t>
      </w:r>
    </w:p>
    <w:p w14:paraId="3E548031" w14:textId="77777777" w:rsidR="00CF3212" w:rsidRDefault="00000000">
      <w:r>
        <w:lastRenderedPageBreak/>
        <w:t>A treatment represented a distinct antidepressant agent rather than an order or prescribing event. Addition of a second agent while continuing the current antidepressant was treated as augmentation and did not advance the outcome count. Restarting an agent used previously also did not advance the count. Augmentation was available as a pre-index predictor when its definition was met.</w:t>
      </w:r>
    </w:p>
    <w:p w14:paraId="4AC6A3B4" w14:textId="77777777" w:rsidR="00CF3212" w:rsidRDefault="00000000">
      <w:r>
        <w:t>The 365-day follow-up requirement ensured that every patient had the observation window needed to determine the label, reducing the chance that a negative label merely reflected early loss of observable EHR time. It does not guarantee that all care outside the health system was captured.</w:t>
      </w:r>
    </w:p>
    <w:p w14:paraId="41830A4E" w14:textId="77777777" w:rsidR="00CF3212" w:rsidRDefault="00000000">
      <w:r>
        <w:t>The label approximates, but does not establish, consensus TRD defined by inadequate response to at least 2 antidepressant trials of adequate dose and duration [2,3]. Nonresponse was inferred from switching rather than directly measured, because standardized symptom severity was not systematically recorded. Dose and duration adequacy were not verified for the counted post-index treatments. Changes attributable to intolerance, adverse effects, cost, formulary restrictions, fragmented care, patient preference, or prescriber practice were therefore counted in the same way as changes attributable to nonresponse.</w:t>
      </w:r>
    </w:p>
    <w:p w14:paraId="5B2F2AFA" w14:textId="77777777" w:rsidR="00CF3212" w:rsidRDefault="00000000">
      <w:r>
        <w:t>Switching also depends on continuity, access, insurance, and clinical practice, which may differ across demographic groups [18,19]. The target can therefore encode health care processes and inequities in addition to pharmacologic nonresponse. The label was not validated against chart review or a symptom-severity criterion. Future validation should compare it with adjudicated treatment histories and symptom trajectories and test a higher-specificity outcome requiring documented adequate courses.</w:t>
      </w:r>
    </w:p>
    <w:p w14:paraId="3B908E17" w14:textId="77777777" w:rsidR="00CF3212" w:rsidRDefault="00000000">
      <w:pPr>
        <w:pStyle w:val="Heading2"/>
      </w:pPr>
      <w:r>
        <w:t>S4. Predictor Selection and Typed Feature Representation</w:t>
      </w:r>
    </w:p>
    <w:p w14:paraId="33A7D6F5" w14:textId="77777777" w:rsidR="00CF3212" w:rsidRDefault="00000000">
      <w:r>
        <w:t>The candidate predictor set was specified before model fitting and before predictor-outcome associations were examined. The approach followed manual clinical and literature-based selection, as in the treatment-resistance model of Perlis [4], rather than univariate screening or automated selection. No variable was retained or removed because of its observed association with TRD.</w:t>
      </w:r>
    </w:p>
    <w:p w14:paraId="48EE3D3C" w14:textId="77777777" w:rsidR="00CF3212" w:rsidRDefault="00000000">
      <w:r>
        <w:t>The selected domains reflected prior treatment-resistance and antidepressant-response research: depression severity and recurrence; psychiatric and substance-use comorbidity; medical comorbidity; prior antidepressant exposure and medication burden; health care utilization; and sociodemographic characteristics [4,5]. Unlike clinical-trial studies that use scheduled symptom scales and structured interviews, this study was restricted to structured fields recorded in routine EHR care. Depression severity was therefore represented by diagnostic coding rather than a standardized rating scale. Prior EHR prediction studies informed the feasible domains [6,7].</w:t>
      </w:r>
    </w:p>
    <w:p w14:paraId="76B00487" w14:textId="77777777" w:rsidR="00CF3212" w:rsidRDefault="00000000">
      <w:r>
        <w:lastRenderedPageBreak/>
        <w:t>Prescribing-constraint flags were retained because they describe whether treatment escalation options may be limited. Sociodemographic and social-determinant fields were retained so that their direct contribution to the narrative embedding could be tested rather than rendered unobservable by design. The only prespecified fields later removed were body mass index and systolic and diastolic blood pressure, for the missingness reasons described in Section S6 rather than because of their association with outcome.</w:t>
      </w:r>
    </w:p>
    <w:p w14:paraId="59AAB829" w14:textId="77777777" w:rsidR="00CF3212" w:rsidRDefault="00000000">
      <w:r>
        <w:t>FEATURE assigned an explicit type to every field. Quantitative counts and durations were continuous, including encounter count, pre-index history length, age, per-agent adequate-trial counts, and medication burden. Single binary flags and multilabel indicator sets were Boolean, including psychiatric and medical comorbidity, prescribing constraints, substance-use categories, and social-determinant categories. Single-valued nominal variables were categorical, including sex, preferred language, marital status, religion, smoking status, race/ethnicity, MDD recurrence, and coded MDD severity. An adequate prior antidepressant trial required at least 42 days of continuous exposure to an agent. The complete predictor inventory and field-level encoding crosswalk should remain in the study's existing supplementary predictor table.</w:t>
      </w:r>
    </w:p>
    <w:p w14:paraId="0567E62C" w14:textId="77777777" w:rsidR="00CF3212" w:rsidRDefault="00000000">
      <w:pPr>
        <w:pStyle w:val="Heading2"/>
      </w:pPr>
      <w:r>
        <w:t>S5. Deterministic Narrative and Embedding Representation</w:t>
      </w:r>
    </w:p>
    <w:p w14:paraId="7DF5E153" w14:textId="77777777" w:rsidR="00CF3212" w:rsidRDefault="00000000">
      <w:r>
        <w:t>The same pre-index record was rendered deterministically into a human-readable Markdown narrative. Rendering was rule based and reproducible: no generative language model participated in construction. This choice prioritized traceability over fluency because an unsupported generated statement would silently alter the patient's model input [23]. Example narratives should remain in the study's existing supplementary examples.</w:t>
      </w:r>
    </w:p>
    <w:p w14:paraId="5CD227F5" w14:textId="77777777" w:rsidR="00CF3212" w:rsidRDefault="00000000">
      <w:r>
        <w:t>Each narrative was mapped to a fixed-length vector with a pretrained sentence-transformer encoder [11]. The 4 independently evaluated encoders were bge-small-en-v1.5 [12], bge-en-icl [13], Qwen3-Embedding-4B, and Qwen3-Embedding-8B [14]. This serialization-and-encoding strategy follows evidence that general-purpose language-model embeddings of serialized EHR records can perform competitively with purpose-built EHR foundation models across prediction tasks [9].</w:t>
      </w:r>
    </w:p>
    <w:p w14:paraId="0553D71F" w14:textId="77777777" w:rsidR="00CF3212" w:rsidRDefault="00000000">
      <w:r>
        <w:t>FEATURE and EMBEDDED used the same timeline-sliced source record but not an identical set of rendered fields. The field-level crosswalk should identify, for every source field, its FEATURE encoding, narrative rendering, missing-value rule, and temporal availability. Because field inventories differ, the comparison is between complete representation pipelines and should not be interpreted as a controlled comparison of numeric versus language encoding with identical information.</w:t>
      </w:r>
    </w:p>
    <w:p w14:paraId="7C707010" w14:textId="77777777" w:rsidR="00CF3212" w:rsidRDefault="00000000">
      <w:pPr>
        <w:pStyle w:val="Heading2"/>
      </w:pPr>
      <w:r>
        <w:lastRenderedPageBreak/>
        <w:t>S6. Missing-Data Handling</w:t>
      </w:r>
    </w:p>
    <w:p w14:paraId="008811AC" w14:textId="77777777" w:rsidR="00CF3212" w:rsidRDefault="00000000">
      <w:r>
        <w:t>No statistical imputation was performed. Mean body mass index and mean systolic and diastolic blood pressure were present in the intermediate feature file but removed from the FEATURE matrix at load time. Each value represented the within-patient mean across pre-index encounters, not a mean across patients. Mean body mass index was missing for 22.1% of patients, and at least 1 vital sign was absent for 21.0%. Body mass index was missing for 28.8% of TRD-positive and 20.6% of TRD-negative patients, an approximately 8-percentage-point difference.</w:t>
      </w:r>
    </w:p>
    <w:p w14:paraId="7F1AB0B3" w14:textId="77777777" w:rsidR="00CF3212" w:rsidRDefault="00000000">
      <w:r>
        <w:t>This association rules out missing completely at random but does not establish missing not at random, which cannot be identified from observed data. Missingness may depend on health-system contact incompletely captured by recorded predictors. The variables were removed because no defensible imputation model was available from observed predictors alone. No missingness indicators were created for the continuous block, and no NaN values reached an estimator. An alternative sensitivity analysis would retain these variables with explicit missingness indicators.</w:t>
      </w:r>
    </w:p>
    <w:p w14:paraId="3DF9AC3A" w14:textId="77777777" w:rsidR="00CF3212" w:rsidRDefault="00000000">
      <w:r>
        <w:t>Missing categorical values were encoded as a separate level by the FEATURE one-hot encoder and as the literal token "Missing" in EMBEDDED. Marital and smoking status were nearly complete (&lt;0.5% missing). Religion was missing for 29.4% overall and showed a monotonic age gradient, from 43.8% at ages 18-29 years to 17.5% at ages 65 years or older. Thus, the missing-category level itself may carry age-related information. Sensitivity analyses should compare retaining versus removing religion.</w:t>
      </w:r>
    </w:p>
    <w:p w14:paraId="2E511359" w14:textId="77777777" w:rsidR="00CF3212" w:rsidRDefault="00000000">
      <w:pPr>
        <w:pStyle w:val="Heading2"/>
      </w:pPr>
      <w:r>
        <w:t>S7. Sample Size and Events per Variable</w:t>
      </w:r>
    </w:p>
    <w:p w14:paraId="776014D8" w14:textId="77777777" w:rsidR="00CF3212" w:rsidRDefault="00000000">
      <w:r>
        <w:t>No formal a priori sample-size calculation was performed because the cohort size was fixed by the eligibility cascade. Model dimensionality was summarized as events per variable (EPV), defined as the number of TRD-positive patients in the training set divided by the number of encoded input columns. The numerator was 5,964 events rather than the total training sample of 34,063; the denominator was the matrix dimension actually supplied to the estimator.</w:t>
      </w:r>
    </w:p>
    <w:p w14:paraId="3C0CA8AA" w14:textId="77777777" w:rsidR="00CF3212" w:rsidRDefault="00000000">
      <w:pPr>
        <w:pStyle w:val="Equation"/>
        <w:jc w:val="center"/>
      </w:pPr>
      <w:r>
        <w:rPr>
          <w:color w:val="1F2933"/>
        </w:rPr>
        <w:t>EPV = TRD-positive training patients / encoded input columns</w:t>
      </w:r>
    </w:p>
    <w:p w14:paraId="4CAF67E2" w14:textId="77777777" w:rsidR="00CF3212" w:rsidRDefault="00000000">
      <w:r>
        <w:t>FEATURE contained 92 encoded columns, giving EPV = 5,964/92 = 64.8. EMBEDDED dimensionality was encoder specific: bge-small-en-v1.5 had 384 dimensions (EPV = 15.5), Qwen3-Embedding-4B had 2,560 dimensions (EPV = 2.3), and bge-en-icl and Qwen3-Embedding-8B each had 4,096 dimensions (EPV = 1.5). Only the smallest encoder exceeded the conventional EPV threshold of 10.</w:t>
      </w:r>
    </w:p>
    <w:p w14:paraId="0031390C" w14:textId="77777777" w:rsidR="00CF3212" w:rsidRDefault="00000000">
      <w:r>
        <w:t xml:space="preserve">EPV was developed for lower-dimensional regression and is not a complete adequacy criterion for high-dimensional regularized learners. Nevertheless, the low ratios emphasize overfitting risk </w:t>
      </w:r>
      <w:r>
        <w:lastRenderedPageBreak/>
        <w:t>for larger embeddings. EPV did not account for the discrimination ranking: bge-small-en-v1.5 had the most favorable ratio but the weakest encoder performance.</w:t>
      </w:r>
    </w:p>
    <w:p w14:paraId="7B664311" w14:textId="77777777" w:rsidR="00CF3212" w:rsidRDefault="00000000">
      <w:pPr>
        <w:pStyle w:val="Heading2"/>
      </w:pPr>
      <w:r>
        <w:t>S8. Train-Test Split, Comparability, and Leakage Safeguards</w:t>
      </w:r>
    </w:p>
    <w:p w14:paraId="1D27EED9" w14:textId="77777777" w:rsidR="00CF3212" w:rsidRDefault="00000000">
      <w:r>
        <w:t>One stratified 80:20 train-test split was generated once and reused for all models, representations, encoders, and ablations. The training set included 34,063 patients (5,964 TRD positive; 17.5%) and the test set included 8,516 (1,491 TRD positive; 17.5%). Standardized mean differences (SMDs) were calculated for every predictor as the train-test mean difference divided by the pooled standard deviation. Across 100 predictor rows, the largest absolute SMD was 0.036; none reached 0.10. The largest arose from a rare social-determinant flag present in 22 training patients and no test patient. Outcome frequency was matched by stratification.</w:t>
      </w:r>
    </w:p>
    <w:p w14:paraId="2002AC83" w14:textId="77777777" w:rsidR="00CF3212" w:rsidRDefault="00000000">
      <w:r>
        <w:t>All data-dependent preprocessing occurred inside the cross-validation pipeline. On each fold, numeric scaling parameters and categorical levels were learned only from that fold's training rows and then applied to its validation rows. The final pipeline was fit on the full training set and evaluated once on the test set.</w:t>
      </w:r>
    </w:p>
    <w:p w14:paraId="21A0E17A" w14:textId="77777777" w:rsidR="00CF3212" w:rsidRDefault="00000000">
      <w:r>
        <w:t>In retrieval analyses, all test identifiers were removed from the searchable index. Each test patient was a query anchor, but every neighbor and neighbor outcome came from the training set. This prevented self-retrieval, test-to-test outcome propagation, and direct use of a test label in prediction. Train-test comparability supports internal evaluation but does not establish transportability because both partitions inherit the same case-enriched sampling frame.</w:t>
      </w:r>
    </w:p>
    <w:p w14:paraId="33F6CE87" w14:textId="77777777" w:rsidR="00CF3212" w:rsidRDefault="00000000">
      <w:pPr>
        <w:pStyle w:val="Heading2"/>
      </w:pPr>
      <w:r>
        <w:t>S9. Standard Machine-Learning Pipeline</w:t>
      </w:r>
    </w:p>
    <w:p w14:paraId="1E5DD647" w14:textId="77777777" w:rsidR="00CF3212" w:rsidRDefault="00000000">
      <w:r>
        <w:t>Four classifiers were fit to each representation: logistic regression, random forest, gradient boosting, and XGBoost. In FEATURE, the column transformer standardized the numeric block, one-hot encoded categorical variables with binary categories collapsed and unknown inference-time levels ignored, and cast Boolean indicators to integers without further transformation. EMBEDDED entered through the numeric branch only.</w:t>
      </w:r>
    </w:p>
    <w:p w14:paraId="10F23557" w14:textId="77777777" w:rsidR="00CF3212" w:rsidRDefault="00000000">
      <w:r>
        <w:t>Each classifier and its preprocessing transformer were wrapped in a single scikit-learn pipeline. Hyperparameters were selected through 5-fold grid search in the training set using ROC AUC as the optimization criterion. The best configuration was refit on all training patients and generated held-out probabilities. Because the scaler and encoder were refit within each fold and no imputation was performed, no fitted preprocessing step had access to validation or test rows.</w:t>
      </w:r>
    </w:p>
    <w:p w14:paraId="36F51263" w14:textId="77777777" w:rsidR="00CF3212" w:rsidRDefault="00000000">
      <w:pPr>
        <w:pStyle w:val="Heading2"/>
      </w:pPr>
      <w:r>
        <w:t>S10. Neighbor-Weighted Retrieval Prediction</w:t>
      </w:r>
    </w:p>
    <w:p w14:paraId="72CF3A40" w14:textId="77777777" w:rsidR="00CF3212" w:rsidRDefault="00000000">
      <w:r>
        <w:t>For EMBEDDED only, the predicted TRD probability for query patient q was the weighted mean of binary TRD labels among K retrieved training neighbors:</w:t>
      </w:r>
    </w:p>
    <w:p w14:paraId="12FAA4BC" w14:textId="77777777" w:rsidR="00CF3212" w:rsidRDefault="00000000">
      <w:pPr>
        <w:pStyle w:val="Equation"/>
        <w:jc w:val="center"/>
      </w:pPr>
      <w:r>
        <w:rPr>
          <w:color w:val="1F2933"/>
        </w:rPr>
        <w:t>p(TRD | q) = Σᵢ₌₁ᴷ wᵢyᵢ / Σᵢ₌₁ᴷ wᵢ</w:t>
      </w:r>
    </w:p>
    <w:p w14:paraId="348E80F6" w14:textId="77777777" w:rsidR="00CF3212" w:rsidRDefault="00000000">
      <w:r>
        <w:lastRenderedPageBreak/>
        <w:t>where yᵢ is neighbor i's TRD label and wᵢ is its nonnegative weight. Neighborhood concentration was summarized using effective sample size:</w:t>
      </w:r>
    </w:p>
    <w:p w14:paraId="59F62DD7" w14:textId="77777777" w:rsidR="00CF3212" w:rsidRDefault="00000000">
      <w:pPr>
        <w:pStyle w:val="Equation"/>
        <w:jc w:val="center"/>
      </w:pPr>
      <w:r>
        <w:rPr>
          <w:color w:val="1F2933"/>
        </w:rPr>
        <w:t>ESS = (Σᵢ₌₁ᴷ wᵢ)² / Σᵢ₌₁ᴷ wᵢ²</w:t>
      </w:r>
    </w:p>
    <w:p w14:paraId="54496E17" w14:textId="77777777" w:rsidR="00CF3212" w:rsidRDefault="00000000">
      <w:r>
        <w:t>ESS equals K under uniform weighting and decreases as weight becomes concentrated among fewer neighbors. Four weighting strategies were tested: uniform (all weights equal), cosine (anchor-neighbor cosine similarity), language-model similarity, and combined (the harmonic mean of cosine and language-model similarity).</w:t>
      </w:r>
    </w:p>
    <w:p w14:paraId="20115228" w14:textId="77777777" w:rsidR="00CF3212" w:rsidRDefault="00000000">
      <w:r>
        <w:t>MedGemma-27B [15] served as an outcome-blind similarity judge. It compared each pair of deterministic patient narratives using a fixed 6-domain clinical-similarity rubric and returned structured JSON containing an overall score from 0 to 100, which was rescaled to 0-1. The judge did not receive neighbor outcomes and did not classify TRD. Its score changed only the contribution of a retrieved neighbor to the weighted mean.</w:t>
      </w:r>
    </w:p>
    <w:p w14:paraId="53898E4A" w14:textId="77777777" w:rsidR="00CF3212" w:rsidRDefault="00000000">
      <w:r>
        <w:t>No human-rated anchor-neighbor pairs were available to estimate judge sensitivity, specificity, or calibration [24]. Therefore, no accuracy claim or corrected descriptive quantity was derived directly from the judge's assessments. An incorrect judgment could misweight a neighbor and reduce prediction performance but could not create a direct outcome-information pathway because the judge never observed outcomes. The fixed prompt, rubric, JSON schema, and high- and low-similarity examples should remain in the study's existing prompt supplement.</w:t>
      </w:r>
    </w:p>
    <w:p w14:paraId="5F248AD7" w14:textId="77777777" w:rsidR="00CF3212" w:rsidRDefault="00000000">
      <w:r>
        <w:t>Four retrieval schemes were evaluated. Nearest selected the K training patients with the highest cosine similarity. Farthest selected those with the lowest similarity as a negative control. Random drew K training patients uniformly. Subsampled first drew a large random candidate pool and then retained the K most similar candidates within that pool. The subsampled scheme tested whether performance persisted when the closest and potentially redundant neighbors were replaced by less extreme but still similar neighbors; it did not assume that geometric hub vectors were present.</w:t>
      </w:r>
    </w:p>
    <w:p w14:paraId="17EF51C5" w14:textId="77777777" w:rsidR="00CF3212" w:rsidRDefault="00000000">
      <w:r>
        <w:t>The full 4-by-4 retrieval-weighting grid was evaluated for the primary Qwen3-Embedding-8B encoder. Retrieval scheme dominated weighting in those analyses: weights were nearly indistinguishable under nearest retrieval, whereas model-derived weights added value mainly when retrieval was uninformative. Farthest and subsampled retrieval and the language-model and combined weights were therefore not rerun for the other encoders. bge-small-en-v1.5, bge-en-icl, and Qwen3-Embedding-4B were evaluated using the reduced grid of nearest and random retrieval crossed with uniform and cosine weighting. These analyses tested whether the nearest-versus-random ordering generalized across encoders.</w:t>
      </w:r>
    </w:p>
    <w:p w14:paraId="5320A91D" w14:textId="77777777" w:rsidR="00CF3212" w:rsidRDefault="00000000">
      <w:pPr>
        <w:pStyle w:val="Heading2"/>
      </w:pPr>
      <w:r>
        <w:t>S11. Semantic-Feature Ablation Specifications</w:t>
      </w:r>
    </w:p>
    <w:p w14:paraId="2704A05E" w14:textId="77777777" w:rsidR="00CF3212" w:rsidRDefault="00000000">
      <w:r>
        <w:t xml:space="preserve">Ablation measured direct-input reliance. For each target concept, patient values were reassigned through a random one-to-one cohort-wide donor permutation. This retained the same marginal set of values while severing the association between each patient's concept </w:t>
      </w:r>
      <w:r>
        <w:lastRenderedPageBreak/>
        <w:t>value and their outcome. Section-level ablations exchanged a complete narrative section; field-level ablations exchanged only the specified field. Perturbed narratives were re-embedded, but the baseline classifiers were kept frozen. The resulting change in ROC AUC therefore answered whether the fitted embedding pipeline relied on that input, not whether a newly trained model could substitute correlated information.</w:t>
      </w:r>
    </w:p>
    <w:p w14:paraId="77890006" w14:textId="77777777" w:rsidR="00CF3212" w:rsidRDefault="00000000">
      <w:pPr>
        <w:pStyle w:val="Heading3"/>
      </w:pPr>
      <w:r>
        <w:t>Psychiatric History</w:t>
      </w:r>
    </w:p>
    <w:p w14:paraId="5DD2EA20" w14:textId="77777777" w:rsidR="00CF3212" w:rsidRDefault="00000000">
      <w:r>
        <w:t>This section included present/absent indicators for anxiety disorder, social anxiety disorder, obsessive-compulsive disorder, posttraumatic stress disorder, adjustment disorder, dysthymia, insomnia, and any substance use disorder; any suicidal-ideation or suicide-attempt code in the 2-year lookback; and named substance categories, including alcohol, cannabis, cocaine, nicotine, opioid, and sedative/hypnotic disorders. It represented documented diagnoses rather than treatments.</w:t>
      </w:r>
    </w:p>
    <w:p w14:paraId="7F6CC8E1" w14:textId="77777777" w:rsidR="00CF3212" w:rsidRDefault="00000000">
      <w:pPr>
        <w:pStyle w:val="Heading3"/>
      </w:pPr>
      <w:r>
        <w:t>Medication Burden</w:t>
      </w:r>
    </w:p>
    <w:p w14:paraId="0B63583A" w14:textId="77777777" w:rsidR="00CF3212" w:rsidRDefault="00000000">
      <w:r>
        <w:t>This section included the count and names of distinct active drug ingredients at the index date across all therapeutic classes and the count and names of distinct nonsteroidal anti-inflammatory drug ingredients prescribed for at least 7 days. It represented overall medical complexity and pill burden, not psychiatric treatment specifically.</w:t>
      </w:r>
    </w:p>
    <w:p w14:paraId="7D3C5F8A" w14:textId="77777777" w:rsidR="00CF3212" w:rsidRDefault="00000000">
      <w:pPr>
        <w:pStyle w:val="Heading3"/>
      </w:pPr>
      <w:r>
        <w:t>Treatment Exposure</w:t>
      </w:r>
    </w:p>
    <w:p w14:paraId="102A335D" w14:textId="77777777" w:rsidR="00CF3212" w:rsidRDefault="00000000">
      <w:r>
        <w:t>This section included pre-index counts of adequate trials for selective serotonin reuptake inhibitors, serotonin-norepinephrine reuptake inhibitors, bupropion, mirtazapine, and vortioxetine; total benzodiazepine days covered during the lookback; hypnotic agents prescribed for at least 7 days; and augmentation, defined as overlap of an antidepressant with lithium, an antipsychotic, or buspirone for at least 14 days. It was distinct from all-class medication burden and from post-index agents used to construct the outcome.</w:t>
      </w:r>
    </w:p>
    <w:p w14:paraId="3E011E6C" w14:textId="77777777" w:rsidR="00CF3212" w:rsidRDefault="00000000">
      <w:pPr>
        <w:pStyle w:val="Heading3"/>
      </w:pPr>
      <w:r>
        <w:t>Treatment Contraindications</w:t>
      </w:r>
    </w:p>
    <w:p w14:paraId="4BF8F272" w14:textId="77777777" w:rsidR="00CF3212" w:rsidRDefault="00000000">
      <w:r>
        <w:t>This section included seizure disorder, which may weigh against bupropion, and uncontrolled hypertension, which may weigh against serotonin-norepinephrine reuptake inhibitors. The intended concept was constraint on escalation options rather than general medical comorbidity.</w:t>
      </w:r>
    </w:p>
    <w:p w14:paraId="2879D7C2" w14:textId="77777777" w:rsidR="00CF3212" w:rsidRDefault="00000000">
      <w:pPr>
        <w:pStyle w:val="Heading3"/>
      </w:pPr>
      <w:r>
        <w:t>Race/Ethnicity</w:t>
      </w:r>
    </w:p>
    <w:p w14:paraId="6556E6DF" w14:textId="77777777" w:rsidR="00CF3212" w:rsidRDefault="00000000">
      <w:r>
        <w:t>The recorded race/ethnicity category, including an explicit unrecorded level, was permuted within an otherwise unchanged sociodemographic section. Sex, age, preferred language, marital status, religion, and smoking status were not altered in this ablation.</w:t>
      </w:r>
    </w:p>
    <w:p w14:paraId="51E3D818" w14:textId="77777777" w:rsidR="00CF3212" w:rsidRDefault="00000000">
      <w:pPr>
        <w:pStyle w:val="Heading3"/>
      </w:pPr>
      <w:r>
        <w:lastRenderedPageBreak/>
        <w:t>Social Determinants of Health</w:t>
      </w:r>
    </w:p>
    <w:p w14:paraId="2CE5FDD1" w14:textId="77777777" w:rsidR="00CF3212" w:rsidRDefault="00000000">
      <w:r>
        <w:t>This field comprised ICD-10 Z-code categories recorded during the lookback: education/literacy, employment, occupational exposure, housing/economic circumstances, social environment, upbringing, primary support group/family circumstances, psychosocial circumstances, and legal/criminal circumstances. The narrative used "None Recorded" when no qualifying code was present. Only this field was permuted.</w:t>
      </w:r>
    </w:p>
    <w:p w14:paraId="0E470063" w14:textId="77777777" w:rsidR="00CF3212" w:rsidRDefault="00000000">
      <w:r>
        <w:t>Ablation does not determine whether outcome labeling or care processes are equitable, whether a permuted attribute can be reconstructed from correlated inputs, or whether discrimination and calibration differ across subgroups. For example, a negligible race/ethnicity delta would not exclude the presence of sociodemographic information in utilization, diagnosis, or treatment patterns.</w:t>
      </w:r>
    </w:p>
    <w:p w14:paraId="54E6980D" w14:textId="77777777" w:rsidR="00CF3212" w:rsidRDefault="00000000">
      <w:pPr>
        <w:pStyle w:val="Heading2"/>
      </w:pPr>
      <w:r>
        <w:t>S12. Evaluation Coverage, Metrics, and Uncertainty</w:t>
      </w:r>
    </w:p>
    <w:p w14:paraId="2D640C81" w14:textId="77777777" w:rsidR="00CF3212" w:rsidRDefault="00000000">
      <w:r>
        <w:t>Classical machine learning, cross-encoder comparisons, and semantic ablation used the complete 42,579-patient cohort and the shared 8,516-patient test set. Qwen3-Embedding-8B was the primary encoder, and MedGemma-27B was the similarity judge. Retrieval analyses used the full grid for the primary encoder and the reduced grid described in Section S10 for the remaining encoders.</w:t>
      </w:r>
    </w:p>
    <w:p w14:paraId="72408C46" w14:textId="77777777" w:rsidR="00CF3212" w:rsidRDefault="00000000">
      <w:r>
        <w:t>Discrimination was measured using ROC AUC. Calibration was summarized by intercept and slope, with ideal values of 0 and 1, respectively. Because the extract was case enriched, calibration in the large pertains to the cohort's observed TRD frequency and is not transportable to a sampling-representative population without recalibration.</w:t>
      </w:r>
    </w:p>
    <w:p w14:paraId="31524A59" w14:textId="77777777" w:rsidR="00CF3212" w:rsidRDefault="00000000">
      <w:r>
        <w:t>Continuous probabilities were dichotomized at the test-set threshold maximizing Youden J. Sensitivity, specificity, and positive and negative likelihood ratios were calculated from the resulting confusion matrix. Selecting and evaluating the threshold in the same test set produces optimistic operating characteristics. These estimates characterize the ROC curve and should not be proposed for deployment. A clinical threshold would need to be selected entirely within development data and evaluated in a separate temporal or external cohort.</w:t>
      </w:r>
    </w:p>
    <w:p w14:paraId="3CFB07FB" w14:textId="77777777" w:rsidR="00CF3212" w:rsidRDefault="00000000">
      <w:r>
        <w:t>Metric confidence intervals were estimated by resampling test-set patients with replacement. For ablation contrasts, the same patient resample was applied to baseline and perturbed prediction vectors, and the ROC AUC difference was recomputed. The point estimate was the full-sample difference; the 2.5th and 97.5th percentiles of the bootstrap distribution formed the 95% confidence interval. Paired resampling preserved within-patient correlation and avoided overstating uncertainty.</w:t>
      </w:r>
    </w:p>
    <w:p w14:paraId="056E0540" w14:textId="77777777" w:rsidR="00CF3212" w:rsidRDefault="00000000">
      <w:r>
        <w:t xml:space="preserve">Representation contrasts used the same paired bootstrap. Classifier-matched comparisons held the learner constant and varied only FEATURE versus EMBEDDED. A best-versus-best contrast compared the strongest classifier observed for each representation but was selected </w:t>
      </w:r>
      <w:r>
        <w:lastRenderedPageBreak/>
        <w:t>post hoc on the test set and should be interpreted descriptively. One resample matrix was reused across all contrasts to maintain comparability.</w:t>
      </w:r>
    </w:p>
    <w:p w14:paraId="68CC0C4A" w14:textId="77777777" w:rsidR="00CF3212" w:rsidRDefault="00000000">
      <w:r>
        <w:t>No equivalence or noninferiority margin was prespecified. A paired confidence interval containing zero indicates that superiority was not established at the precision achieved; it does not establish equivalence.</w:t>
      </w:r>
    </w:p>
    <w:p w14:paraId="77005AE1" w14:textId="77777777" w:rsidR="00CF3212" w:rsidRDefault="00000000">
      <w:pPr>
        <w:pStyle w:val="Heading2"/>
      </w:pPr>
      <w:r>
        <w:t>S13. Reproducibility, Software, and Data Provenance</w:t>
      </w:r>
    </w:p>
    <w:p w14:paraId="63AB6E6F" w14:textId="77777777" w:rsidR="00CF3212" w:rsidRDefault="00000000">
      <w:r>
        <w:t>Random number generators were seeded. Modeling was implemented in Python with scikit-learn [16] and XGBoost [17]; sentence embeddings used sentence-transformer encoders [11]. The source-data cut was June 29, 2026 (DV260629v1), and analysis-ready patient tables were built July 10, 2026 (PV260710v1). No later extract was used. Analysis code is available at https://github.com/Pirate-Hunter-Zoro/TRD-EHR.</w:t>
      </w:r>
    </w:p>
    <w:sectPr w:rsidR="00CF3212"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339363">
    <w:abstractNumId w:val="8"/>
  </w:num>
  <w:num w:numId="2" w16cid:durableId="1993829257">
    <w:abstractNumId w:val="6"/>
  </w:num>
  <w:num w:numId="3" w16cid:durableId="1569462379">
    <w:abstractNumId w:val="5"/>
  </w:num>
  <w:num w:numId="4" w16cid:durableId="711000295">
    <w:abstractNumId w:val="4"/>
  </w:num>
  <w:num w:numId="5" w16cid:durableId="1569998495">
    <w:abstractNumId w:val="7"/>
  </w:num>
  <w:num w:numId="6" w16cid:durableId="210044677">
    <w:abstractNumId w:val="3"/>
  </w:num>
  <w:num w:numId="7" w16cid:durableId="1928925307">
    <w:abstractNumId w:val="2"/>
  </w:num>
  <w:num w:numId="8" w16cid:durableId="1758475618">
    <w:abstractNumId w:val="1"/>
  </w:num>
  <w:num w:numId="9" w16cid:durableId="6952297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CF3212"/>
    <w:rsid w:val="00E759F1"/>
    <w:rsid w:val="00F972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C7CF4"/>
  <w14:defaultImageDpi w14:val="300"/>
  <w15:docId w15:val="{4E5B00D8-B160-2447-8682-F042A16A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320" w:line="240" w:lineRule="auto"/>
      <w:contextualSpacing/>
    </w:pPr>
    <w:rPr>
      <w:rFonts w:asciiTheme="majorHAnsi" w:eastAsiaTheme="majorEastAsia" w:hAnsiTheme="majorHAnsi" w:cstheme="majorBidi"/>
      <w:b/>
      <w:color w:val="173A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3F56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60"/>
    </w:pPr>
    <w:rPr>
      <w:rFonts w:ascii="Cambria Math" w:hAnsi="Cambria Math"/>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5222</Words>
  <Characters>33319</Characters>
  <Application>Microsoft Office Word</Application>
  <DocSecurity>0</DocSecurity>
  <Lines>482</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JMIR-Style Methods and Supplementary Methods</dc:title>
  <dc:subject>Treatment-resistant depression prediction using structured and embedded EHR representations</dc:subject>
  <dc:creator>Martin P. Paulus</dc:creator>
  <cp:keywords>JMIR, methods, supplementary methods, EHR, treatment-resistant depression, embeddings</cp:keywords>
  <dc:description>generated by python-docx</dc:description>
  <cp:lastModifiedBy>Martin Paulus</cp:lastModifiedBy>
  <cp:revision>2</cp:revision>
  <dcterms:created xsi:type="dcterms:W3CDTF">2026-09-02T20:39:00Z</dcterms:created>
  <dcterms:modified xsi:type="dcterms:W3CDTF">2026-09-02T20:39:00Z</dcterms:modified>
  <cp:category/>
</cp:coreProperties>
</file>