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Background:</w:t>
      </w:r>
      <w:r>
        <w:t xml:space="preserve"> </w:t>
      </w:r>
      <w:r>
        <w:t xml:space="preserve">Electronic health records (EHRs) have been shown to support prediction of subsequent antidepressant switching, an imperfect proxy for treatment-resistant depression (TRD). However, it is unclear whether general-purpose narrative embeddings improve prediction beyond structured feature vectors.</w:t>
      </w:r>
    </w:p>
    <w:p>
      <w:pPr>
        <w:pStyle w:val="BodyText"/>
      </w:pPr>
      <w:r>
        <w:rPr>
          <w:bCs/>
          <w:b/>
        </w:rPr>
        <w:t xml:space="preserve">Objective:</w:t>
      </w:r>
      <w:r>
        <w:t xml:space="preserve"> </w:t>
      </w:r>
      <w:r>
        <w:t xml:space="preserve">We compared structured feature vectors with pretrained embeddings of rule-based patient narratives for predicting a treatment-switching proxy for TRD at the index antidepressant prescription.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This retrospective study included 42,579 patients with depression from one community health system. The outcome required at least 3 distinct antidepressant treatments, including the index agent, within 365 days. Clinical predictors were derived from a 730-day lookback window. We evaluated 4 classifiers on each representation using a shared 80:20 training and test split, with preprocessing and tuning confined to training data. Four embedding encoders were evaluated; Qwen3-Embedding-8B was primary. The pipelines used the same source records. We assessed discrimination, calibration, and paired bootstrap differences, and used concept permutation and neighbor retrieval to examine the predictive signal.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The outcome occurred in 7,455 patients (17.5%). In 8,516 test patients, embedded logistic regression achieved a receiver operating characteristic area under the curve (ROC AUC) of 0.657 (95% CI 0.643–0.672), compared with 0.649 (95% CI 0.634–0.664) for feature-vector XGBoost. The post hoc difference between these leading models was 0.008 (95% CI −0.003 to 0.019). Embeddings improved logistic regression by 0.028 ROC AUC but reduced discrimination for the 3 tree ensembles by 0.013–0.022. Embedded logistic regression achieved ROC AUCs of 0.645–0.657 across encoders. Permuting psychiatric history produced the largest discrimination loss for the primary encoder (0.024–0.028 across classifiers); medication burden and prior treatment exposure also contributed. Permuting race/ethnicity or recorded social determinants changed ROC AUC by no more than 0.003. Nearest-neighbor retrieval over the embedding stayed below both leading classifiers at every neighborhood size tested. Its best ROC AUC was 0.625 (95% CI 0.610–0.641), at a neighborhood size chosen on the test patients, against 0.500 (0.484–0.515) for randomly chosen neighbors.</w:t>
      </w:r>
    </w:p>
    <w:p>
      <w:pPr>
        <w:pStyle w:val="BodyText"/>
      </w:pPr>
      <w:r>
        <w:rPr>
          <w:bCs/>
          <w:b/>
        </w:rPr>
        <w:t xml:space="preserve">Conclusions:</w:t>
      </w:r>
      <w:r>
        <w:t xml:space="preserve"> </w:t>
      </w:r>
      <w:r>
        <w:t xml:space="preserve">Narrative embeddings did not demonstrate superior discrimination over the strongest structured feature model for this treatment-switching proxy. Performance depended on the classifier, and neither pipeline established clinical utility. These findings support structured features as a practical benchmark. Before either pipeline is used in care, 3 things need testing: whether the switching label reflects true treatment resistance, whether the models work in other health systems, and whether their predictions improve clinical decisions.</w:t>
      </w:r>
    </w:p>
    <w:p>
      <w:pPr>
        <w:pStyle w:val="BodyText"/>
      </w:pPr>
      <w:r>
        <w:t xml:space="preserve">Keywords: treatment-resistant depression; depression; electronic health records; machine learning; clinical prediction; text embeddings; antidepressants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2026-09-30T03:51:27Z</dcterms:created>
  <dcterms:modified xsi:type="dcterms:W3CDTF">2026-09-30T03:51:27Z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