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source-data-and-sampling"/>
    <w:p>
      <w:pPr>
        <w:pStyle w:val="Heading1"/>
      </w:pPr>
      <w:r>
        <w:t xml:space="preserve">M1 Source Data and Sampling</w:t>
      </w:r>
    </w:p>
    <w:p>
      <w:pPr>
        <w:pStyle w:val="FirstParagraph"/>
      </w:pPr>
      <w:r>
        <w:t xml:space="preserve">The study used a single de-identified extract from the Epic EHR of Saint Francis Health System. Seven files were delivered: person, encounter, diagnosis, medication, procedure, and laboratory/flowsheet tables together with a medication-to-RxNorm mapping table.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pPr>
        <w:pStyle w:val="BodyText"/>
      </w:pPr>
      <w:r>
        <w:t xml:space="preserve">The delivering data team restricted the person table to one administrative division of the health system and to patients who were current, valid, non-test, non-historical, not recorded as deceased, and aged 18-110 years at extraction. Eligible source encounters were completed on or before the extraction date, had at least one associated diagnosis, and had an inpatient, outpatient, observation, or emergency patient class.</w:t>
      </w:r>
    </w:p>
    <w:p>
      <w:pPr>
        <w:pStyle w:val="BodyText"/>
      </w:pPr>
      <w:r>
        <w:t xml:space="preserve">Investigators prespecified the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pPr>
        <w:pStyle w:val="BodyText"/>
      </w:pPr>
      <w:r>
        <w:t xml:space="preserve">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with and 401,298 (80.0%) without a problem-list depression flag.</w:t>
      </w:r>
    </w:p>
    <w:p>
      <w:pPr>
        <w:pStyle w:val="BodyText"/>
      </w:pPr>
      <w:r>
        <w:t xml:space="preserve">Sampling used problem-list flags, whereas eligibility used encounter diagnoses. Of 42,579 eligible patients, 12,530 (29.4%) lacked the problem-list flag and entered through the randomly sampled group. The analytic cohort therefore does not enumerate all patients with depression in the health system. Its outcome and subgroup frequencies are sample descriptions, not population prevalence estimates. Both representations were evaluated in the same sampled patients.</w:t>
      </w:r>
    </w:p>
    <w:p>
      <w:pPr>
        <w:pStyle w:val="BodyText"/>
      </w:pPr>
      <w:r>
        <w:t xml:space="preserve">The setting is a single community health system in Tulsa, Oklahoma, serving inpatient, outpatient, observation, and emergency care. Patients enter the cohort through routine antidepressant prescribing across those settings rather than through psychiatric specialty referral, and the index prescription may be written in any of them.</w:t>
      </w:r>
    </w:p>
    <w:p>
      <w:pPr>
        <w:pStyle w:val="BodyText"/>
      </w:pPr>
      <w:r>
        <w:t xml:space="preserve">Analyses used data version DV260629v1 and patient version PV260710v1. Source files were extracted June 29, 2026; analysis-ready tables were created July 10, 2026. No later refresh entered the study.</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2026-09-30T03:53:13Z</dcterms:created>
  <dcterms:modified xsi:type="dcterms:W3CDTF">2026-09-30T03:53:13Z</dcterms:modified>
</cp:coreProperties>
</file>

<file path=docProps/custom.xml><?xml version="1.0" encoding="utf-8"?>
<Properties xmlns="http://schemas.openxmlformats.org/officeDocument/2006/custom-properties" xmlns:vt="http://schemas.openxmlformats.org/officeDocument/2006/docPropsVTypes"/>
</file>