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2-eligibility-and-temporal-design"/>
    <w:p>
      <w:pPr>
        <w:pStyle w:val="Heading1"/>
      </w:pPr>
      <w:r>
        <w:t xml:space="preserve">M2 Eligibility and Temporal Design</w:t>
      </w:r>
    </w:p>
    <w:p>
      <w:pPr>
        <w:pStyle w:val="FirstParagraph"/>
      </w:pPr>
      <w:r>
        <w:t xml:space="preserve">Eligibility was applied hierarchically from the full delivered extract. Patients were required to have: (1) a qualifying MDD diagnosis; (2) no bipolar-disorder diagnosis and no schizophrenia-spectrum diagnosis, to isolate unipolar depression; (3) an eligible antidepressant index prescription; (4) an MDD diagnosis recorded on or before the index date; (5) at least 730 days of pre-index history; and (6) at least 365 days of post-index follow-up. Patients failing the chronological or observation prerequisites were assigned explicit rejection reasons for attrition accounting.</w:t>
      </w:r>
    </w:p>
    <w:p>
      <w:pPr>
        <w:pStyle w:val="BodyText"/>
      </w:pPr>
      <w:r>
        <w:t xml:space="preserve">Table M1. Participant flow through the hierarchical eligibility filters. Each row applies one additional filter to the survivors of the row above. The first row is the delivered extract, a case-enriched sample by design (Supplement M1).</w:t>
      </w:r>
    </w:p>
    <w:tbl>
      <w:tblPr>
        <w:tblStyle w:val="Table"/>
        <w:tblW w:type="pct" w:w="0.0"/>
        <w:tblLook w:firstRow="1" w:lastRow="0" w:firstColumn="0" w:lastColumn="0" w:noHBand="0" w:noVBand="0" w:val="0020"/>
      </w:tblPr>
      <w:tblGrid/>
      <w:tr>
        <w:tc>
          <w:p>
            <w:pPr>
              <w:pStyle w:val="Compact"/>
              <w:jc w:val="left"/>
            </w:pPr>
            <w:r>
              <w:rPr>
                <w:bCs/>
                <w:b/>
              </w:rPr>
              <w:t xml:space="preserve">Stage</w:t>
            </w:r>
          </w:p>
        </w:tc>
        <w:tc>
          <w:p>
            <w:pPr>
              <w:pStyle w:val="Compact"/>
              <w:jc w:val="left"/>
            </w:pPr>
            <w:r>
              <w:rPr>
                <w:bCs/>
                <w:b/>
              </w:rPr>
              <w:t xml:space="preserve">Remaining</w:t>
            </w:r>
          </w:p>
        </w:tc>
        <w:tc>
          <w:p>
            <w:pPr>
              <w:pStyle w:val="Compact"/>
              <w:jc w:val="left"/>
            </w:pPr>
            <w:r>
              <w:rPr>
                <w:bCs/>
                <w:b/>
              </w:rPr>
              <w:t xml:space="preserve">Rejected at stage</w:t>
            </w:r>
          </w:p>
        </w:tc>
      </w:tr>
      <w:tr>
        <w:tc>
          <w:p>
            <w:pPr>
              <w:pStyle w:val="Compact"/>
              <w:jc w:val="left"/>
            </w:pPr>
            <w:r>
              <w:t xml:space="preserve">Delivered extract (4:1 case-enriched)</w:t>
            </w:r>
          </w:p>
        </w:tc>
        <w:tc>
          <w:p>
            <w:pPr>
              <w:pStyle w:val="Compact"/>
              <w:jc w:val="left"/>
            </w:pPr>
            <w:r>
              <w:t xml:space="preserve">501,718</w:t>
            </w:r>
          </w:p>
        </w:tc>
        <w:tc>
          <w:p>
            <w:pPr>
              <w:pStyle w:val="Compact"/>
              <w:jc w:val="left"/>
            </w:pPr>
            <w:r>
              <w:t xml:space="preserve">—</w:t>
            </w:r>
          </w:p>
        </w:tc>
      </w:tr>
      <w:tr>
        <w:tc>
          <w:p>
            <w:pPr>
              <w:pStyle w:val="Compact"/>
              <w:jc w:val="left"/>
            </w:pPr>
            <w:r>
              <w:t xml:space="preserve">MDD-diagnosed</w:t>
            </w:r>
          </w:p>
        </w:tc>
        <w:tc>
          <w:p>
            <w:pPr>
              <w:pStyle w:val="Compact"/>
              <w:jc w:val="left"/>
            </w:pPr>
            <w:r>
              <w:t xml:space="preserve">144,110</w:t>
            </w:r>
          </w:p>
        </w:tc>
        <w:tc>
          <w:p>
            <w:pPr>
              <w:pStyle w:val="Compact"/>
              <w:jc w:val="left"/>
            </w:pPr>
            <w:r>
              <w:t xml:space="preserve">357,608</w:t>
            </w:r>
          </w:p>
        </w:tc>
      </w:tr>
      <w:tr>
        <w:tc>
          <w:p>
            <w:pPr>
              <w:pStyle w:val="Compact"/>
              <w:jc w:val="left"/>
            </w:pPr>
            <w:r>
              <w:t xml:space="preserve">Not bipolar AND not schizophrenia-spectrum</w:t>
            </w:r>
          </w:p>
        </w:tc>
        <w:tc>
          <w:p>
            <w:pPr>
              <w:pStyle w:val="Compact"/>
              <w:jc w:val="left"/>
            </w:pPr>
            <w:r>
              <w:t xml:space="preserve">124,188</w:t>
            </w:r>
          </w:p>
        </w:tc>
        <w:tc>
          <w:p>
            <w:pPr>
              <w:pStyle w:val="Compact"/>
              <w:jc w:val="left"/>
            </w:pPr>
            <w:r>
              <w:t xml:space="preserve">19,922</w:t>
            </w:r>
          </w:p>
        </w:tc>
      </w:tr>
      <w:tr>
        <w:tc>
          <w:p>
            <w:pPr>
              <w:pStyle w:val="Compact"/>
              <w:jc w:val="left"/>
            </w:pPr>
            <w:r>
              <w:t xml:space="preserve">Has antidepressant index prescription</w:t>
            </w:r>
          </w:p>
        </w:tc>
        <w:tc>
          <w:p>
            <w:pPr>
              <w:pStyle w:val="Compact"/>
              <w:jc w:val="left"/>
            </w:pPr>
            <w:r>
              <w:t xml:space="preserve">107,636</w:t>
            </w:r>
          </w:p>
        </w:tc>
        <w:tc>
          <w:p>
            <w:pPr>
              <w:pStyle w:val="Compact"/>
              <w:jc w:val="left"/>
            </w:pPr>
            <w:r>
              <w:t xml:space="preserve">16,552</w:t>
            </w:r>
          </w:p>
        </w:tc>
      </w:tr>
      <w:tr>
        <w:tc>
          <w:p>
            <w:pPr>
              <w:pStyle w:val="Compact"/>
              <w:jc w:val="left"/>
            </w:pPr>
            <w:r>
              <w:t xml:space="preserve">Has MDD before index</w:t>
            </w:r>
          </w:p>
        </w:tc>
        <w:tc>
          <w:p>
            <w:pPr>
              <w:pStyle w:val="Compact"/>
              <w:jc w:val="left"/>
            </w:pPr>
            <w:r>
              <w:t xml:space="preserve">103,458</w:t>
            </w:r>
          </w:p>
        </w:tc>
        <w:tc>
          <w:p>
            <w:pPr>
              <w:pStyle w:val="Compact"/>
              <w:jc w:val="left"/>
            </w:pPr>
            <w:r>
              <w:t xml:space="preserve">4,178</w:t>
            </w:r>
          </w:p>
        </w:tc>
      </w:tr>
      <w:tr>
        <w:tc>
          <w:p>
            <w:pPr>
              <w:pStyle w:val="Compact"/>
              <w:jc w:val="left"/>
            </w:pPr>
            <w:r>
              <w:t xml:space="preserve">≥2 years pre-index history</w:t>
            </w:r>
          </w:p>
        </w:tc>
        <w:tc>
          <w:p>
            <w:pPr>
              <w:pStyle w:val="Compact"/>
              <w:jc w:val="left"/>
            </w:pPr>
            <w:r>
              <w:t xml:space="preserve">54,215</w:t>
            </w:r>
          </w:p>
        </w:tc>
        <w:tc>
          <w:p>
            <w:pPr>
              <w:pStyle w:val="Compact"/>
              <w:jc w:val="left"/>
            </w:pPr>
            <w:r>
              <w:t xml:space="preserve">49,243</w:t>
            </w:r>
          </w:p>
        </w:tc>
      </w:tr>
      <w:tr>
        <w:tc>
          <w:p>
            <w:pPr>
              <w:pStyle w:val="Compact"/>
              <w:jc w:val="left"/>
            </w:pPr>
            <w:r>
              <w:t xml:space="preserve">≥1 year post-index follow-up (final cohort)</w:t>
            </w:r>
          </w:p>
        </w:tc>
        <w:tc>
          <w:p>
            <w:pPr>
              <w:pStyle w:val="Compact"/>
              <w:jc w:val="left"/>
            </w:pPr>
            <w:r>
              <w:t xml:space="preserve">42,579</w:t>
            </w:r>
          </w:p>
        </w:tc>
        <w:tc>
          <w:p>
            <w:pPr>
              <w:pStyle w:val="Compact"/>
              <w:jc w:val="left"/>
            </w:pPr>
            <w:r>
              <w:t xml:space="preserve">11,636</w:t>
            </w:r>
          </w:p>
        </w:tc>
      </w:tr>
    </w:tbl>
    <w:p>
      <w:pPr>
        <w:pStyle w:val="BodyText"/>
      </w:pPr>
      <w:r>
        <w:t xml:space="preserve">Upstream data preparation assembled, for each patient, all antidepressant medication orders beginning on or after the date of the first documented depression diagnosis. The earliest start date in that set defined the index date, one per patient. In 25,645 of the 42,579 cohort patients (60.2%, 95% CI 59.8–60.7), the index prescription was written on the same day as the first recorded depression diagnosis.</w:t>
      </w:r>
    </w:p>
    <w:p>
      <w:pPr>
        <w:pStyle w:val="BodyText"/>
      </w:pPr>
      <w:r>
        <w:t xml:space="preserve">The index was chosen without looking at anything after it, such as later dose, exposure duration, response, or switching. Post-index information was used to establish 365 days of follow-up and ascertain the outcome. Clinical content was restricted to the 730-day window ending on the index date. Total recorded pre-index history length (median 1,792 days) was retained separately as a duration variable, although clinical content outside the fixed window was not used.</w:t>
      </w:r>
    </w:p>
    <w:p>
      <w:pPr>
        <w:pStyle w:val="BodyText"/>
      </w:pPr>
      <w:r>
        <w:t xml:space="preserve">Prior antidepressant exposure did not exclude patients: 24.0% had some recorded pre-index exposure and 14.7% had a course meeting the 42-day duration threshold. The index was the first recorded prescription on or after a documented depression diagnosis, not necessarily the first lifetime exposure or first adequate trial.</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2026-09-30T03:53:13Z</dcterms:created>
  <dcterms:modified xsi:type="dcterms:W3CDTF">2026-09-30T03:53:13Z</dcterms:modified>
</cp:coreProperties>
</file>

<file path=docProps/custom.xml><?xml version="1.0" encoding="utf-8"?>
<Properties xmlns="http://schemas.openxmlformats.org/officeDocument/2006/custom-properties" xmlns:vt="http://schemas.openxmlformats.org/officeDocument/2006/docPropsVTypes"/>
</file>