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s9-subgroup-performance"/>
    <w:p>
      <w:pPr>
        <w:pStyle w:val="Heading1"/>
      </w:pPr>
      <w:r>
        <w:t xml:space="preserve">S9 Subgroup Performance</w:t>
      </w:r>
    </w:p>
    <w:p>
      <w:pPr>
        <w:pStyle w:val="FirstParagraph"/>
      </w:pPr>
      <w:r>
        <w:t xml:space="preserve">Subgroup analyses address performance differences, a question distinct from direct-input reliance under permutation. They do not establish fairness of the outcome label or of a proposed clinical decision.</w:t>
      </w:r>
    </w:p>
    <w:bookmarkStart w:id="20" w:name="s9-1-design"/>
    <w:p>
      <w:pPr>
        <w:pStyle w:val="Heading2"/>
      </w:pPr>
      <w:r>
        <w:t xml:space="preserve">S9 1 Design</w:t>
      </w:r>
    </w:p>
    <w:p>
      <w:pPr>
        <w:pStyle w:val="FirstParagraph"/>
      </w:pPr>
      <w:r>
        <w:t xml:space="preserve">Held-out predicted probabilities were partitioned by subgroup without refitting models. Discrimination and calibration were recalculated within each group.</w:t>
      </w:r>
    </w:p>
    <w:p>
      <w:pPr>
        <w:pStyle w:val="BodyText"/>
      </w:pPr>
      <w:r>
        <w:t xml:space="preserve">The analysis included 4 FEATURE classifiers, 4 EMBEDDED classifiers, and 4 neighbor configurations, each at its own best k from section S6: nearest retrieval under plain cosine similarity (k = 757) and under importance-weighted similarity (k = 295), and 2 controls, uniform random retrieval (k = 32,720) and farthest retrieval (k = 50). Between-group contrasts included the 2 nearest-neighbor configurations and excluded the controls. The best k was chosen on all test patients, not within each subgroup.</w:t>
      </w:r>
    </w:p>
    <w:p>
      <w:pPr>
        <w:pStyle w:val="BodyText"/>
      </w:pPr>
      <w:r>
        <w:t xml:space="preserve">Strata comprised sex, recorded race, age, marital status, smoking, religion, MDD recurrence, and severity. Race was aggregated as White versus other recorded categories because of small subgroup counts; this masks potentially important heterogeneity. Preferred language was not contrasted because 98.9% preferred English. A subgroup was treated as not estimable when its smaller outcome class contained fewer than 20 patients.</w:t>
      </w:r>
    </w:p>
    <w:p>
      <w:pPr>
        <w:pStyle w:val="BodyText"/>
      </w:pPr>
      <w:r>
        <w:t xml:space="preserve">Within-group CIs used percentile bootstrap resampling. Contrasts between disjoint groups used independent resampling of each group. Two-sided bootstrap P values were adjusted across 240 contrasts with the Benjamini–Hochberg procedure.</w:t>
      </w:r>
    </w:p>
    <w:p>
      <w:pPr>
        <w:pStyle w:val="BodyText"/>
      </w:pPr>
      <w:r>
        <w:t xml:space="preserve">The individual-level calibration slope was estimated by logistic regression of outcome on logit predicted risk. Mean predicted risk minus observed outcome frequency was also reported; the original table label</w:t>
      </w:r>
      <w:r>
        <w:t xml:space="preserve"> </w:t>
      </w:r>
      <w:r>
        <w:t xml:space="preserve">“</w:t>
      </w:r>
      <w:r>
        <w:t xml:space="preserve">calibration-in-the-large</w:t>
      </w:r>
      <w:r>
        <w:t xml:space="preserve">”</w:t>
      </w:r>
      <w:r>
        <w:t xml:space="preserve"> </w:t>
      </w:r>
      <w:r>
        <w:t xml:space="preserve">is retained as</w:t>
      </w:r>
      <w:r>
        <w:t xml:space="preserve"> </w:t>
      </w:r>
      <w:r>
        <w:t xml:space="preserve">“</w:t>
      </w:r>
      <w:r>
        <w:t xml:space="preserve">mean risk difference</w:t>
      </w:r>
      <w:r>
        <w:t xml:space="preserve">”</w:t>
      </w:r>
      <w:r>
        <w:t xml:space="preserve"> </w:t>
      </w:r>
      <w:r>
        <w:t xml:space="preserve">to identify the quantity actually calculated. This is not a logistic calibration intercept. Both differ from the binned-curve parameters in section S3.</w:t>
      </w:r>
    </w:p>
    <w:bookmarkEnd w:id="20"/>
    <w:bookmarkStart w:id="21" w:name="s9-2-sociodemographic-strata"/>
    <w:p>
      <w:pPr>
        <w:pStyle w:val="Heading2"/>
      </w:pPr>
      <w:r>
        <w:t xml:space="preserve">S9 2 Sociodemographic strata</w:t>
      </w:r>
    </w:p>
    <w:p>
      <w:pPr>
        <w:pStyle w:val="FirstParagraph"/>
      </w:pPr>
      <w:r>
        <w:t xml:space="preserve">Table S10. Discrimination and calibration by sociodemographic stratum, one representative model per arm, held-out test set. Groups are not disjoint across families: every patient with a recorded sex appears in one sex row and every patient with a recorded race in one race row.</w:t>
      </w:r>
    </w:p>
    <w:tbl>
      <w:tblPr>
        <w:tblStyle w:val="Table"/>
        <w:tblW w:type="pct" w:w="4999.999999999999"/>
        <w:tblLook w:firstRow="1" w:lastRow="0" w:firstColumn="0" w:lastColumn="0" w:noHBand="0" w:noVBand="0" w:val="0020"/>
      </w:tblPr>
      <w:tblGrid>
        <w:gridCol w:w="2449"/>
        <w:gridCol w:w="571"/>
        <w:gridCol w:w="571"/>
        <w:gridCol w:w="489"/>
        <w:gridCol w:w="1714"/>
        <w:gridCol w:w="571"/>
        <w:gridCol w:w="734"/>
        <w:gridCol w:w="816"/>
      </w:tblGrid>
      <w:tr>
        <w:tc>
          <w:p>
            <w:pPr>
              <w:pStyle w:val="Compact"/>
              <w:jc w:val="left"/>
            </w:pPr>
            <w:r>
              <w:rPr>
                <w:bCs/>
                <w:b/>
              </w:rPr>
              <w:t xml:space="preserve">Group</w:t>
            </w:r>
          </w:p>
        </w:tc>
        <w:tc>
          <w:p>
            <w:pPr>
              <w:pStyle w:val="Compact"/>
              <w:jc w:val="right"/>
            </w:pPr>
            <w:r>
              <w:rPr>
                <w:bCs/>
                <w:b/>
              </w:rPr>
              <w:t xml:space="preserve">n</w:t>
            </w:r>
          </w:p>
        </w:tc>
        <w:tc>
          <w:p>
            <w:pPr>
              <w:pStyle w:val="Compact"/>
              <w:jc w:val="right"/>
            </w:pPr>
            <w:r>
              <w:rPr>
                <w:bCs/>
                <w:b/>
              </w:rPr>
              <w:t xml:space="preserve">Events</w:t>
            </w:r>
          </w:p>
        </w:tc>
        <w:tc>
          <w:p>
            <w:pPr>
              <w:pStyle w:val="Compact"/>
              <w:jc w:val="left"/>
            </w:pPr>
            <w:r>
              <w:rPr>
                <w:bCs/>
                <w:b/>
              </w:rPr>
              <w:t xml:space="preserve">Arm</w:t>
            </w:r>
          </w:p>
        </w:tc>
        <w:tc>
          <w:p>
            <w:pPr>
              <w:pStyle w:val="Compact"/>
              <w:jc w:val="right"/>
            </w:pPr>
            <w:r>
              <w:rPr>
                <w:bCs/>
                <w:b/>
              </w:rPr>
              <w:t xml:space="preserve">ROC AUC (95% CI)</w:t>
            </w:r>
          </w:p>
        </w:tc>
        <w:tc>
          <w:p>
            <w:pPr>
              <w:pStyle w:val="Compact"/>
              <w:jc w:val="right"/>
            </w:pPr>
            <w:r>
              <w:rPr>
                <w:bCs/>
                <w:b/>
              </w:rPr>
              <w:t xml:space="preserve">Brier</w:t>
            </w:r>
          </w:p>
        </w:tc>
        <w:tc>
          <w:p>
            <w:pPr>
              <w:pStyle w:val="Compact"/>
              <w:jc w:val="right"/>
            </w:pPr>
            <w:r>
              <w:rPr>
                <w:bCs/>
                <w:b/>
              </w:rPr>
              <w:t xml:space="preserve">Logistic slope</w:t>
            </w:r>
          </w:p>
        </w:tc>
        <w:tc>
          <w:p>
            <w:pPr>
              <w:pStyle w:val="Compact"/>
              <w:jc w:val="right"/>
            </w:pPr>
            <w:r>
              <w:rPr>
                <w:bCs/>
                <w:b/>
              </w:rPr>
              <w:t xml:space="preserve">Mean risk difference</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E LR</w:t>
            </w:r>
          </w:p>
        </w:tc>
        <w:tc>
          <w:p>
            <w:pPr>
              <w:pStyle w:val="Compact"/>
              <w:jc w:val="right"/>
            </w:pPr>
            <w:r>
              <w:t xml:space="preserve">0.657 (0.643–0.672)</w:t>
            </w:r>
          </w:p>
        </w:tc>
        <w:tc>
          <w:p>
            <w:pPr>
              <w:pStyle w:val="Compact"/>
              <w:jc w:val="right"/>
            </w:pPr>
            <w:r>
              <w:t xml:space="preserve">0.137</w:t>
            </w:r>
          </w:p>
        </w:tc>
        <w:tc>
          <w:p>
            <w:pPr>
              <w:pStyle w:val="Compact"/>
              <w:jc w:val="right"/>
            </w:pPr>
            <w:r>
              <w:t xml:space="preserve">0.97</w:t>
            </w:r>
          </w:p>
        </w:tc>
        <w:tc>
          <w:p>
            <w:pPr>
              <w:pStyle w:val="Compact"/>
              <w:jc w:val="right"/>
            </w:pPr>
            <w:r>
              <w:t xml:space="preserve">+0.000</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F LR</w:t>
            </w:r>
          </w:p>
        </w:tc>
        <w:tc>
          <w:p>
            <w:pPr>
              <w:pStyle w:val="Compact"/>
              <w:jc w:val="right"/>
            </w:pPr>
            <w:r>
              <w:t xml:space="preserve">0.629 (0.613–0.644)</w:t>
            </w:r>
          </w:p>
        </w:tc>
        <w:tc>
          <w:p>
            <w:pPr>
              <w:pStyle w:val="Compact"/>
              <w:jc w:val="right"/>
            </w:pPr>
            <w:r>
              <w:t xml:space="preserve">0.139</w:t>
            </w:r>
          </w:p>
        </w:tc>
        <w:tc>
          <w:p>
            <w:pPr>
              <w:pStyle w:val="Compact"/>
              <w:jc w:val="right"/>
            </w:pPr>
            <w:r>
              <w:t xml:space="preserve">0.95</w:t>
            </w:r>
          </w:p>
        </w:tc>
        <w:tc>
          <w:p>
            <w:pPr>
              <w:pStyle w:val="Compact"/>
              <w:jc w:val="right"/>
            </w:pPr>
            <w:r>
              <w:t xml:space="preserve">-0.000</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N WTD</w:t>
            </w:r>
          </w:p>
        </w:tc>
        <w:tc>
          <w:p>
            <w:pPr>
              <w:pStyle w:val="Compact"/>
              <w:jc w:val="right"/>
            </w:pPr>
            <w:r>
              <w:t xml:space="preserve">0.625 (0.610–0.641)</w:t>
            </w:r>
          </w:p>
        </w:tc>
        <w:tc>
          <w:p>
            <w:pPr>
              <w:pStyle w:val="Compact"/>
              <w:jc w:val="right"/>
            </w:pPr>
            <w:r>
              <w:t xml:space="preserve">0.140</w:t>
            </w:r>
          </w:p>
        </w:tc>
        <w:tc>
          <w:p>
            <w:pPr>
              <w:pStyle w:val="Compact"/>
              <w:jc w:val="right"/>
            </w:pPr>
            <w:r>
              <w:t xml:space="preserve">1.15</w:t>
            </w:r>
          </w:p>
        </w:tc>
        <w:tc>
          <w:p>
            <w:pPr>
              <w:pStyle w:val="Compact"/>
              <w:jc w:val="right"/>
            </w:pPr>
            <w:r>
              <w:t xml:space="preserve">-0.004</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E LR</w:t>
            </w:r>
          </w:p>
        </w:tc>
        <w:tc>
          <w:p>
            <w:pPr>
              <w:pStyle w:val="Compact"/>
              <w:jc w:val="right"/>
            </w:pPr>
            <w:r>
              <w:t xml:space="preserve">0.653 (0.622–0.682)</w:t>
            </w:r>
          </w:p>
        </w:tc>
        <w:tc>
          <w:p>
            <w:pPr>
              <w:pStyle w:val="Compact"/>
              <w:jc w:val="right"/>
            </w:pPr>
            <w:r>
              <w:t xml:space="preserve">0.131</w:t>
            </w:r>
          </w:p>
        </w:tc>
        <w:tc>
          <w:p>
            <w:pPr>
              <w:pStyle w:val="Compact"/>
              <w:jc w:val="right"/>
            </w:pPr>
            <w:r>
              <w:t xml:space="preserve">0.94</w:t>
            </w:r>
          </w:p>
        </w:tc>
        <w:tc>
          <w:p>
            <w:pPr>
              <w:pStyle w:val="Compact"/>
              <w:jc w:val="right"/>
            </w:pPr>
            <w:r>
              <w:t xml:space="preserve">-0.003</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F LR</w:t>
            </w:r>
          </w:p>
        </w:tc>
        <w:tc>
          <w:p>
            <w:pPr>
              <w:pStyle w:val="Compact"/>
              <w:jc w:val="right"/>
            </w:pPr>
            <w:r>
              <w:t xml:space="preserve">0.626 (0.595–0.655)</w:t>
            </w:r>
          </w:p>
        </w:tc>
        <w:tc>
          <w:p>
            <w:pPr>
              <w:pStyle w:val="Compact"/>
              <w:jc w:val="right"/>
            </w:pPr>
            <w:r>
              <w:t xml:space="preserve">0.133</w:t>
            </w:r>
          </w:p>
        </w:tc>
        <w:tc>
          <w:p>
            <w:pPr>
              <w:pStyle w:val="Compact"/>
              <w:jc w:val="right"/>
            </w:pPr>
            <w:r>
              <w:t xml:space="preserve">0.86</w:t>
            </w:r>
          </w:p>
        </w:tc>
        <w:tc>
          <w:p>
            <w:pPr>
              <w:pStyle w:val="Compact"/>
              <w:jc w:val="right"/>
            </w:pPr>
            <w:r>
              <w:t xml:space="preserve">-0.003</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N WTD</w:t>
            </w:r>
          </w:p>
        </w:tc>
        <w:tc>
          <w:p>
            <w:pPr>
              <w:pStyle w:val="Compact"/>
              <w:jc w:val="right"/>
            </w:pPr>
            <w:r>
              <w:t xml:space="preserve">0.625 (0.595–0.653)</w:t>
            </w:r>
          </w:p>
        </w:tc>
        <w:tc>
          <w:p>
            <w:pPr>
              <w:pStyle w:val="Compact"/>
              <w:jc w:val="right"/>
            </w:pPr>
            <w:r>
              <w:t xml:space="preserve">0.133</w:t>
            </w:r>
          </w:p>
        </w:tc>
        <w:tc>
          <w:p>
            <w:pPr>
              <w:pStyle w:val="Compact"/>
              <w:jc w:val="right"/>
            </w:pPr>
            <w:r>
              <w:t xml:space="preserve">1.04</w:t>
            </w:r>
          </w:p>
        </w:tc>
        <w:tc>
          <w:p>
            <w:pPr>
              <w:pStyle w:val="Compact"/>
              <w:jc w:val="right"/>
            </w:pPr>
            <w:r>
              <w:t xml:space="preserve">-0.001</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E LR</w:t>
            </w:r>
          </w:p>
        </w:tc>
        <w:tc>
          <w:p>
            <w:pPr>
              <w:pStyle w:val="Compact"/>
              <w:jc w:val="right"/>
            </w:pPr>
            <w:r>
              <w:t xml:space="preserve">0.658 (0.641–0.675)</w:t>
            </w:r>
          </w:p>
        </w:tc>
        <w:tc>
          <w:p>
            <w:pPr>
              <w:pStyle w:val="Compact"/>
              <w:jc w:val="right"/>
            </w:pPr>
            <w:r>
              <w:t xml:space="preserve">0.139</w:t>
            </w:r>
          </w:p>
        </w:tc>
        <w:tc>
          <w:p>
            <w:pPr>
              <w:pStyle w:val="Compact"/>
              <w:jc w:val="right"/>
            </w:pPr>
            <w:r>
              <w:t xml:space="preserve">0.98</w:t>
            </w:r>
          </w:p>
        </w:tc>
        <w:tc>
          <w:p>
            <w:pPr>
              <w:pStyle w:val="Compact"/>
              <w:jc w:val="right"/>
            </w:pPr>
            <w:r>
              <w:t xml:space="preserve">+0.002</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F LR</w:t>
            </w:r>
          </w:p>
        </w:tc>
        <w:tc>
          <w:p>
            <w:pPr>
              <w:pStyle w:val="Compact"/>
              <w:jc w:val="right"/>
            </w:pPr>
            <w:r>
              <w:t xml:space="preserve">0.630 (0.612–0.648)</w:t>
            </w:r>
          </w:p>
        </w:tc>
        <w:tc>
          <w:p>
            <w:pPr>
              <w:pStyle w:val="Compact"/>
              <w:jc w:val="right"/>
            </w:pPr>
            <w:r>
              <w:t xml:space="preserve">0.141</w:t>
            </w:r>
          </w:p>
        </w:tc>
        <w:tc>
          <w:p>
            <w:pPr>
              <w:pStyle w:val="Compact"/>
              <w:jc w:val="right"/>
            </w:pPr>
            <w:r>
              <w:t xml:space="preserve">0.99</w:t>
            </w:r>
          </w:p>
        </w:tc>
        <w:tc>
          <w:p>
            <w:pPr>
              <w:pStyle w:val="Compact"/>
              <w:jc w:val="right"/>
            </w:pPr>
            <w:r>
              <w:t xml:space="preserve">+0.001</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N WTD</w:t>
            </w:r>
          </w:p>
        </w:tc>
        <w:tc>
          <w:p>
            <w:pPr>
              <w:pStyle w:val="Compact"/>
              <w:jc w:val="right"/>
            </w:pPr>
            <w:r>
              <w:t xml:space="preserve">0.624 (0.607–0.642)</w:t>
            </w:r>
          </w:p>
        </w:tc>
        <w:tc>
          <w:p>
            <w:pPr>
              <w:pStyle w:val="Compact"/>
              <w:jc w:val="right"/>
            </w:pPr>
            <w:r>
              <w:t xml:space="preserve">0.142</w:t>
            </w:r>
          </w:p>
        </w:tc>
        <w:tc>
          <w:p>
            <w:pPr>
              <w:pStyle w:val="Compact"/>
              <w:jc w:val="right"/>
            </w:pPr>
            <w:r>
              <w:t xml:space="preserve">1.20</w:t>
            </w:r>
          </w:p>
        </w:tc>
        <w:tc>
          <w:p>
            <w:pPr>
              <w:pStyle w:val="Compact"/>
              <w:jc w:val="right"/>
            </w:pPr>
            <w:r>
              <w:t xml:space="preserve">-0.005</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E LR</w:t>
            </w:r>
          </w:p>
        </w:tc>
        <w:tc>
          <w:p>
            <w:pPr>
              <w:pStyle w:val="Compact"/>
              <w:jc w:val="right"/>
            </w:pPr>
            <w:r>
              <w:t xml:space="preserve">0.657 (0.640–0.674)</w:t>
            </w:r>
          </w:p>
        </w:tc>
        <w:tc>
          <w:p>
            <w:pPr>
              <w:pStyle w:val="Compact"/>
              <w:jc w:val="right"/>
            </w:pPr>
            <w:r>
              <w:t xml:space="preserve">0.136</w:t>
            </w:r>
          </w:p>
        </w:tc>
        <w:tc>
          <w:p>
            <w:pPr>
              <w:pStyle w:val="Compact"/>
              <w:jc w:val="right"/>
            </w:pPr>
            <w:r>
              <w:t xml:space="preserve">0.97</w:t>
            </w:r>
          </w:p>
        </w:tc>
        <w:tc>
          <w:p>
            <w:pPr>
              <w:pStyle w:val="Compact"/>
              <w:jc w:val="right"/>
            </w:pPr>
            <w:r>
              <w:t xml:space="preserve">+0.002</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F LR</w:t>
            </w:r>
          </w:p>
        </w:tc>
        <w:tc>
          <w:p>
            <w:pPr>
              <w:pStyle w:val="Compact"/>
              <w:jc w:val="right"/>
            </w:pPr>
            <w:r>
              <w:t xml:space="preserve">0.633 (0.615–0.652)</w:t>
            </w:r>
          </w:p>
        </w:tc>
        <w:tc>
          <w:p>
            <w:pPr>
              <w:pStyle w:val="Compact"/>
              <w:jc w:val="right"/>
            </w:pPr>
            <w:r>
              <w:t xml:space="preserve">0.137</w:t>
            </w:r>
          </w:p>
        </w:tc>
        <w:tc>
          <w:p>
            <w:pPr>
              <w:pStyle w:val="Compact"/>
              <w:jc w:val="right"/>
            </w:pPr>
            <w:r>
              <w:t xml:space="preserve">0.98</w:t>
            </w:r>
          </w:p>
        </w:tc>
        <w:tc>
          <w:p>
            <w:pPr>
              <w:pStyle w:val="Compact"/>
              <w:jc w:val="right"/>
            </w:pPr>
            <w:r>
              <w:t xml:space="preserve">+0.001</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N WTD</w:t>
            </w:r>
          </w:p>
        </w:tc>
        <w:tc>
          <w:p>
            <w:pPr>
              <w:pStyle w:val="Compact"/>
              <w:jc w:val="right"/>
            </w:pPr>
            <w:r>
              <w:t xml:space="preserve">0.633 (0.615–0.650)</w:t>
            </w:r>
          </w:p>
        </w:tc>
        <w:tc>
          <w:p>
            <w:pPr>
              <w:pStyle w:val="Compact"/>
              <w:jc w:val="right"/>
            </w:pPr>
            <w:r>
              <w:t xml:space="preserve">0.138</w:t>
            </w:r>
          </w:p>
        </w:tc>
        <w:tc>
          <w:p>
            <w:pPr>
              <w:pStyle w:val="Compact"/>
              <w:jc w:val="right"/>
            </w:pPr>
            <w:r>
              <w:t xml:space="preserve">1.22</w:t>
            </w:r>
          </w:p>
        </w:tc>
        <w:tc>
          <w:p>
            <w:pPr>
              <w:pStyle w:val="Compact"/>
              <w:jc w:val="right"/>
            </w:pPr>
            <w:r>
              <w:t xml:space="preserve">-0.004</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E LR</w:t>
            </w:r>
          </w:p>
        </w:tc>
        <w:tc>
          <w:p>
            <w:pPr>
              <w:pStyle w:val="Compact"/>
              <w:jc w:val="right"/>
            </w:pPr>
            <w:r>
              <w:t xml:space="preserve">0.652 (0.620–0.684)</w:t>
            </w:r>
          </w:p>
        </w:tc>
        <w:tc>
          <w:p>
            <w:pPr>
              <w:pStyle w:val="Compact"/>
              <w:jc w:val="right"/>
            </w:pPr>
            <w:r>
              <w:t xml:space="preserve">0.144</w:t>
            </w:r>
          </w:p>
        </w:tc>
        <w:tc>
          <w:p>
            <w:pPr>
              <w:pStyle w:val="Compact"/>
              <w:jc w:val="right"/>
            </w:pPr>
            <w:r>
              <w:t xml:space="preserve">0.95</w:t>
            </w:r>
          </w:p>
        </w:tc>
        <w:tc>
          <w:p>
            <w:pPr>
              <w:pStyle w:val="Compact"/>
              <w:jc w:val="right"/>
            </w:pPr>
            <w:r>
              <w:t xml:space="preserve">-0.004</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F LR</w:t>
            </w:r>
          </w:p>
        </w:tc>
        <w:tc>
          <w:p>
            <w:pPr>
              <w:pStyle w:val="Compact"/>
              <w:jc w:val="right"/>
            </w:pPr>
            <w:r>
              <w:t xml:space="preserve">0.608 (0.573–0.643)</w:t>
            </w:r>
          </w:p>
        </w:tc>
        <w:tc>
          <w:p>
            <w:pPr>
              <w:pStyle w:val="Compact"/>
              <w:jc w:val="right"/>
            </w:pPr>
            <w:r>
              <w:t xml:space="preserve">0.147</w:t>
            </w:r>
          </w:p>
        </w:tc>
        <w:tc>
          <w:p>
            <w:pPr>
              <w:pStyle w:val="Compact"/>
              <w:jc w:val="right"/>
            </w:pPr>
            <w:r>
              <w:t xml:space="preserve">0.79</w:t>
            </w:r>
          </w:p>
        </w:tc>
        <w:tc>
          <w:p>
            <w:pPr>
              <w:pStyle w:val="Compact"/>
              <w:jc w:val="right"/>
            </w:pPr>
            <w:r>
              <w:t xml:space="preserve">-0.004</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N WTD</w:t>
            </w:r>
          </w:p>
        </w:tc>
        <w:tc>
          <w:p>
            <w:pPr>
              <w:pStyle w:val="Compact"/>
              <w:jc w:val="right"/>
            </w:pPr>
            <w:r>
              <w:t xml:space="preserve">0.587 (0.553–0.620)</w:t>
            </w:r>
          </w:p>
        </w:tc>
        <w:tc>
          <w:p>
            <w:pPr>
              <w:pStyle w:val="Compact"/>
              <w:jc w:val="right"/>
            </w:pPr>
            <w:r>
              <w:t xml:space="preserve">0.148</w:t>
            </w:r>
          </w:p>
        </w:tc>
        <w:tc>
          <w:p>
            <w:pPr>
              <w:pStyle w:val="Compact"/>
              <w:jc w:val="right"/>
            </w:pPr>
            <w:r>
              <w:t xml:space="preserve">0.85</w:t>
            </w:r>
          </w:p>
        </w:tc>
        <w:tc>
          <w:p>
            <w:pPr>
              <w:pStyle w:val="Compact"/>
              <w:jc w:val="right"/>
            </w:pPr>
            <w:r>
              <w:t xml:space="preserve">-0.004</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E LR</w:t>
            </w:r>
          </w:p>
        </w:tc>
        <w:tc>
          <w:p>
            <w:pPr>
              <w:pStyle w:val="Compact"/>
              <w:jc w:val="right"/>
            </w:pPr>
            <w:r>
              <w:t xml:space="preserve">0.611 (0.568–0.654)</w:t>
            </w:r>
          </w:p>
        </w:tc>
        <w:tc>
          <w:p>
            <w:pPr>
              <w:pStyle w:val="Compact"/>
              <w:jc w:val="right"/>
            </w:pPr>
            <w:r>
              <w:t xml:space="preserve">0.156</w:t>
            </w:r>
          </w:p>
        </w:tc>
        <w:tc>
          <w:p>
            <w:pPr>
              <w:pStyle w:val="Compact"/>
              <w:jc w:val="right"/>
            </w:pPr>
            <w:r>
              <w:t xml:space="preserve">0.78</w:t>
            </w:r>
          </w:p>
        </w:tc>
        <w:tc>
          <w:p>
            <w:pPr>
              <w:pStyle w:val="Compact"/>
              <w:jc w:val="right"/>
            </w:pPr>
            <w:r>
              <w:t xml:space="preserve">+0.003</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F LR</w:t>
            </w:r>
          </w:p>
        </w:tc>
        <w:tc>
          <w:p>
            <w:pPr>
              <w:pStyle w:val="Compact"/>
              <w:jc w:val="right"/>
            </w:pPr>
            <w:r>
              <w:t xml:space="preserve">0.570 (0.524–0.615)</w:t>
            </w:r>
          </w:p>
        </w:tc>
        <w:tc>
          <w:p>
            <w:pPr>
              <w:pStyle w:val="Compact"/>
              <w:jc w:val="right"/>
            </w:pPr>
            <w:r>
              <w:t xml:space="preserve">0.160</w:t>
            </w:r>
          </w:p>
        </w:tc>
        <w:tc>
          <w:p>
            <w:pPr>
              <w:pStyle w:val="Compact"/>
              <w:jc w:val="right"/>
            </w:pPr>
            <w:r>
              <w:t xml:space="preserve">0.60</w:t>
            </w:r>
          </w:p>
        </w:tc>
        <w:tc>
          <w:p>
            <w:pPr>
              <w:pStyle w:val="Compact"/>
              <w:jc w:val="right"/>
            </w:pPr>
            <w:r>
              <w:t xml:space="preserve">+0.012</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N WTD</w:t>
            </w:r>
          </w:p>
        </w:tc>
        <w:tc>
          <w:p>
            <w:pPr>
              <w:pStyle w:val="Compact"/>
              <w:jc w:val="right"/>
            </w:pPr>
            <w:r>
              <w:t xml:space="preserve">0.578 (0.535–0.620)</w:t>
            </w:r>
          </w:p>
        </w:tc>
        <w:tc>
          <w:p>
            <w:pPr>
              <w:pStyle w:val="Compact"/>
              <w:jc w:val="right"/>
            </w:pPr>
            <w:r>
              <w:t xml:space="preserve">0.158</w:t>
            </w:r>
          </w:p>
        </w:tc>
        <w:tc>
          <w:p>
            <w:pPr>
              <w:pStyle w:val="Compact"/>
              <w:jc w:val="right"/>
            </w:pPr>
            <w:r>
              <w:t xml:space="preserve">0.81</w:t>
            </w:r>
          </w:p>
        </w:tc>
        <w:tc>
          <w:p>
            <w:pPr>
              <w:pStyle w:val="Compact"/>
              <w:jc w:val="right"/>
            </w:pPr>
            <w:r>
              <w:t xml:space="preserve">-0.007</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E LR</w:t>
            </w:r>
          </w:p>
        </w:tc>
        <w:tc>
          <w:p>
            <w:pPr>
              <w:pStyle w:val="Compact"/>
              <w:jc w:val="right"/>
            </w:pPr>
            <w:r>
              <w:t xml:space="preserve">0.653 (0.621–0.682)</w:t>
            </w:r>
          </w:p>
        </w:tc>
        <w:tc>
          <w:p>
            <w:pPr>
              <w:pStyle w:val="Compact"/>
              <w:jc w:val="right"/>
            </w:pPr>
            <w:r>
              <w:t xml:space="preserve">0.154</w:t>
            </w:r>
          </w:p>
        </w:tc>
        <w:tc>
          <w:p>
            <w:pPr>
              <w:pStyle w:val="Compact"/>
              <w:jc w:val="right"/>
            </w:pPr>
            <w:r>
              <w:t xml:space="preserve">0.95</w:t>
            </w:r>
          </w:p>
        </w:tc>
        <w:tc>
          <w:p>
            <w:pPr>
              <w:pStyle w:val="Compact"/>
              <w:jc w:val="right"/>
            </w:pPr>
            <w:r>
              <w:t xml:space="preserve">-0.002</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F LR</w:t>
            </w:r>
          </w:p>
        </w:tc>
        <w:tc>
          <w:p>
            <w:pPr>
              <w:pStyle w:val="Compact"/>
              <w:jc w:val="right"/>
            </w:pPr>
            <w:r>
              <w:t xml:space="preserve">0.636 (0.605–0.667)</w:t>
            </w:r>
          </w:p>
        </w:tc>
        <w:tc>
          <w:p>
            <w:pPr>
              <w:pStyle w:val="Compact"/>
              <w:jc w:val="right"/>
            </w:pPr>
            <w:r>
              <w:t xml:space="preserve">0.155</w:t>
            </w:r>
          </w:p>
        </w:tc>
        <w:tc>
          <w:p>
            <w:pPr>
              <w:pStyle w:val="Compact"/>
              <w:jc w:val="right"/>
            </w:pPr>
            <w:r>
              <w:t xml:space="preserve">1.00</w:t>
            </w:r>
          </w:p>
        </w:tc>
        <w:tc>
          <w:p>
            <w:pPr>
              <w:pStyle w:val="Compact"/>
              <w:jc w:val="right"/>
            </w:pPr>
            <w:r>
              <w:t xml:space="preserve">-0.002</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N WTD</w:t>
            </w:r>
          </w:p>
        </w:tc>
        <w:tc>
          <w:p>
            <w:pPr>
              <w:pStyle w:val="Compact"/>
              <w:jc w:val="right"/>
            </w:pPr>
            <w:r>
              <w:t xml:space="preserve">0.610 (0.578–0.642)</w:t>
            </w:r>
          </w:p>
        </w:tc>
        <w:tc>
          <w:p>
            <w:pPr>
              <w:pStyle w:val="Compact"/>
              <w:jc w:val="right"/>
            </w:pPr>
            <w:r>
              <w:t xml:space="preserve">0.158</w:t>
            </w:r>
          </w:p>
        </w:tc>
        <w:tc>
          <w:p>
            <w:pPr>
              <w:pStyle w:val="Compact"/>
              <w:jc w:val="right"/>
            </w:pPr>
            <w:r>
              <w:t xml:space="preserve">1.08</w:t>
            </w:r>
          </w:p>
        </w:tc>
        <w:tc>
          <w:p>
            <w:pPr>
              <w:pStyle w:val="Compact"/>
              <w:jc w:val="right"/>
            </w:pPr>
            <w:r>
              <w:t xml:space="preserve">-0.015</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E LR</w:t>
            </w:r>
          </w:p>
        </w:tc>
        <w:tc>
          <w:p>
            <w:pPr>
              <w:pStyle w:val="Compact"/>
              <w:jc w:val="right"/>
            </w:pPr>
            <w:r>
              <w:t xml:space="preserve">0.652 (0.623–0.679)</w:t>
            </w:r>
          </w:p>
        </w:tc>
        <w:tc>
          <w:p>
            <w:pPr>
              <w:pStyle w:val="Compact"/>
              <w:jc w:val="right"/>
            </w:pPr>
            <w:r>
              <w:t xml:space="preserve">0.140</w:t>
            </w:r>
          </w:p>
        </w:tc>
        <w:tc>
          <w:p>
            <w:pPr>
              <w:pStyle w:val="Compact"/>
              <w:jc w:val="right"/>
            </w:pPr>
            <w:r>
              <w:t xml:space="preserve">0.98</w:t>
            </w:r>
          </w:p>
        </w:tc>
        <w:tc>
          <w:p>
            <w:pPr>
              <w:pStyle w:val="Compact"/>
              <w:jc w:val="right"/>
            </w:pPr>
            <w:r>
              <w:t xml:space="preserve">+0.007</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F LR</w:t>
            </w:r>
          </w:p>
        </w:tc>
        <w:tc>
          <w:p>
            <w:pPr>
              <w:pStyle w:val="Compact"/>
              <w:jc w:val="right"/>
            </w:pPr>
            <w:r>
              <w:t xml:space="preserve">0.607 (0.580–0.636)</w:t>
            </w:r>
          </w:p>
        </w:tc>
        <w:tc>
          <w:p>
            <w:pPr>
              <w:pStyle w:val="Compact"/>
              <w:jc w:val="right"/>
            </w:pPr>
            <w:r>
              <w:t xml:space="preserve">0.143</w:t>
            </w:r>
          </w:p>
        </w:tc>
        <w:tc>
          <w:p>
            <w:pPr>
              <w:pStyle w:val="Compact"/>
              <w:jc w:val="right"/>
            </w:pPr>
            <w:r>
              <w:t xml:space="preserve">0.88</w:t>
            </w:r>
          </w:p>
        </w:tc>
        <w:tc>
          <w:p>
            <w:pPr>
              <w:pStyle w:val="Compact"/>
              <w:jc w:val="right"/>
            </w:pPr>
            <w:r>
              <w:t xml:space="preserve">-0.001</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N WTD</w:t>
            </w:r>
          </w:p>
        </w:tc>
        <w:tc>
          <w:p>
            <w:pPr>
              <w:pStyle w:val="Compact"/>
              <w:jc w:val="right"/>
            </w:pPr>
            <w:r>
              <w:t xml:space="preserve">0.624 (0.594–0.651)</w:t>
            </w:r>
          </w:p>
        </w:tc>
        <w:tc>
          <w:p>
            <w:pPr>
              <w:pStyle w:val="Compact"/>
              <w:jc w:val="right"/>
            </w:pPr>
            <w:r>
              <w:t xml:space="preserve">0.142</w:t>
            </w:r>
          </w:p>
        </w:tc>
        <w:tc>
          <w:p>
            <w:pPr>
              <w:pStyle w:val="Compact"/>
              <w:jc w:val="right"/>
            </w:pPr>
            <w:r>
              <w:t xml:space="preserve">1.16</w:t>
            </w:r>
          </w:p>
        </w:tc>
        <w:tc>
          <w:p>
            <w:pPr>
              <w:pStyle w:val="Compact"/>
              <w:jc w:val="right"/>
            </w:pPr>
            <w:r>
              <w:t xml:space="preserve">-0.002</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E LR</w:t>
            </w:r>
          </w:p>
        </w:tc>
        <w:tc>
          <w:p>
            <w:pPr>
              <w:pStyle w:val="Compact"/>
              <w:jc w:val="right"/>
            </w:pPr>
            <w:r>
              <w:t xml:space="preserve">0.658 (0.630–0.682)</w:t>
            </w:r>
          </w:p>
        </w:tc>
        <w:tc>
          <w:p>
            <w:pPr>
              <w:pStyle w:val="Compact"/>
              <w:jc w:val="right"/>
            </w:pPr>
            <w:r>
              <w:t xml:space="preserve">0.117</w:t>
            </w:r>
          </w:p>
        </w:tc>
        <w:tc>
          <w:p>
            <w:pPr>
              <w:pStyle w:val="Compact"/>
              <w:jc w:val="right"/>
            </w:pPr>
            <w:r>
              <w:t xml:space="preserve">1.10</w:t>
            </w:r>
          </w:p>
        </w:tc>
        <w:tc>
          <w:p>
            <w:pPr>
              <w:pStyle w:val="Compact"/>
              <w:jc w:val="right"/>
            </w:pPr>
            <w:r>
              <w:t xml:space="preserve">-0.005</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F LR</w:t>
            </w:r>
          </w:p>
        </w:tc>
        <w:tc>
          <w:p>
            <w:pPr>
              <w:pStyle w:val="Compact"/>
              <w:jc w:val="right"/>
            </w:pPr>
            <w:r>
              <w:t xml:space="preserve">0.641 (0.614–0.669)</w:t>
            </w:r>
          </w:p>
        </w:tc>
        <w:tc>
          <w:p>
            <w:pPr>
              <w:pStyle w:val="Compact"/>
              <w:jc w:val="right"/>
            </w:pPr>
            <w:r>
              <w:t xml:space="preserve">0.119</w:t>
            </w:r>
          </w:p>
        </w:tc>
        <w:tc>
          <w:p>
            <w:pPr>
              <w:pStyle w:val="Compact"/>
              <w:jc w:val="right"/>
            </w:pPr>
            <w:r>
              <w:t xml:space="preserve">1.18</w:t>
            </w:r>
          </w:p>
        </w:tc>
        <w:tc>
          <w:p>
            <w:pPr>
              <w:pStyle w:val="Compact"/>
              <w:jc w:val="right"/>
            </w:pPr>
            <w:r>
              <w:t xml:space="preserve">-0.003</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N WTD</w:t>
            </w:r>
          </w:p>
        </w:tc>
        <w:tc>
          <w:p>
            <w:pPr>
              <w:pStyle w:val="Compact"/>
              <w:jc w:val="right"/>
            </w:pPr>
            <w:r>
              <w:t xml:space="preserve">0.624 (0.595–0.651)</w:t>
            </w:r>
          </w:p>
        </w:tc>
        <w:tc>
          <w:p>
            <w:pPr>
              <w:pStyle w:val="Compact"/>
              <w:jc w:val="right"/>
            </w:pPr>
            <w:r>
              <w:t xml:space="preserve">0.119</w:t>
            </w:r>
          </w:p>
        </w:tc>
        <w:tc>
          <w:p>
            <w:pPr>
              <w:pStyle w:val="Compact"/>
              <w:jc w:val="right"/>
            </w:pPr>
            <w:r>
              <w:t xml:space="preserve">1.28</w:t>
            </w:r>
          </w:p>
        </w:tc>
        <w:tc>
          <w:p>
            <w:pPr>
              <w:pStyle w:val="Compact"/>
              <w:jc w:val="right"/>
            </w:pPr>
            <w:r>
              <w:t xml:space="preserve">+0.003</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E LR</w:t>
            </w:r>
          </w:p>
        </w:tc>
        <w:tc>
          <w:p>
            <w:pPr>
              <w:pStyle w:val="Compact"/>
              <w:jc w:val="right"/>
            </w:pPr>
            <w:r>
              <w:t xml:space="preserve">0.640 (0.593–0.681)</w:t>
            </w:r>
          </w:p>
        </w:tc>
        <w:tc>
          <w:p>
            <w:pPr>
              <w:pStyle w:val="Compact"/>
              <w:jc w:val="right"/>
            </w:pPr>
            <w:r>
              <w:t xml:space="preserve">0.173</w:t>
            </w:r>
          </w:p>
        </w:tc>
        <w:tc>
          <w:p>
            <w:pPr>
              <w:pStyle w:val="Compact"/>
              <w:jc w:val="right"/>
            </w:pPr>
            <w:r>
              <w:t xml:space="preserve">0.90</w:t>
            </w:r>
          </w:p>
        </w:tc>
        <w:tc>
          <w:p>
            <w:pPr>
              <w:pStyle w:val="Compact"/>
              <w:jc w:val="right"/>
            </w:pPr>
            <w:r>
              <w:t xml:space="preserve">-0.046</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F LR</w:t>
            </w:r>
          </w:p>
        </w:tc>
        <w:tc>
          <w:p>
            <w:pPr>
              <w:pStyle w:val="Compact"/>
              <w:jc w:val="right"/>
            </w:pPr>
            <w:r>
              <w:t xml:space="preserve">0.607 (0.563–0.649)</w:t>
            </w:r>
          </w:p>
        </w:tc>
        <w:tc>
          <w:p>
            <w:pPr>
              <w:pStyle w:val="Compact"/>
              <w:jc w:val="right"/>
            </w:pPr>
            <w:r>
              <w:t xml:space="preserve">0.177</w:t>
            </w:r>
          </w:p>
        </w:tc>
        <w:tc>
          <w:p>
            <w:pPr>
              <w:pStyle w:val="Compact"/>
              <w:jc w:val="right"/>
            </w:pPr>
            <w:r>
              <w:t xml:space="preserve">0.85</w:t>
            </w:r>
          </w:p>
        </w:tc>
        <w:tc>
          <w:p>
            <w:pPr>
              <w:pStyle w:val="Compact"/>
              <w:jc w:val="right"/>
            </w:pPr>
            <w:r>
              <w:t xml:space="preserve">-0.049</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N WTD</w:t>
            </w:r>
          </w:p>
        </w:tc>
        <w:tc>
          <w:p>
            <w:pPr>
              <w:pStyle w:val="Compact"/>
              <w:jc w:val="right"/>
            </w:pPr>
            <w:r>
              <w:t xml:space="preserve">0.607 (0.561–0.646)</w:t>
            </w:r>
          </w:p>
        </w:tc>
        <w:tc>
          <w:p>
            <w:pPr>
              <w:pStyle w:val="Compact"/>
              <w:jc w:val="right"/>
            </w:pPr>
            <w:r>
              <w:t xml:space="preserve">0.179</w:t>
            </w:r>
          </w:p>
        </w:tc>
        <w:tc>
          <w:p>
            <w:pPr>
              <w:pStyle w:val="Compact"/>
              <w:jc w:val="right"/>
            </w:pPr>
            <w:r>
              <w:t xml:space="preserve">1.07</w:t>
            </w:r>
          </w:p>
        </w:tc>
        <w:tc>
          <w:p>
            <w:pPr>
              <w:pStyle w:val="Compact"/>
              <w:jc w:val="right"/>
            </w:pPr>
            <w:r>
              <w:t xml:space="preserve">-0.061</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E LR</w:t>
            </w:r>
          </w:p>
        </w:tc>
        <w:tc>
          <w:p>
            <w:pPr>
              <w:pStyle w:val="Compact"/>
              <w:jc w:val="right"/>
            </w:pPr>
            <w:r>
              <w:t xml:space="preserve">0.634 (0.609–0.661)</w:t>
            </w:r>
          </w:p>
        </w:tc>
        <w:tc>
          <w:p>
            <w:pPr>
              <w:pStyle w:val="Compact"/>
              <w:jc w:val="right"/>
            </w:pPr>
            <w:r>
              <w:t xml:space="preserve">0.145</w:t>
            </w:r>
          </w:p>
        </w:tc>
        <w:tc>
          <w:p>
            <w:pPr>
              <w:pStyle w:val="Compact"/>
              <w:jc w:val="right"/>
            </w:pPr>
            <w:r>
              <w:t xml:space="preserve">0.85</w:t>
            </w:r>
          </w:p>
        </w:tc>
        <w:tc>
          <w:p>
            <w:pPr>
              <w:pStyle w:val="Compact"/>
              <w:jc w:val="right"/>
            </w:pPr>
            <w:r>
              <w:t xml:space="preserve">+0.013</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F LR</w:t>
            </w:r>
          </w:p>
        </w:tc>
        <w:tc>
          <w:p>
            <w:pPr>
              <w:pStyle w:val="Compact"/>
              <w:jc w:val="right"/>
            </w:pPr>
            <w:r>
              <w:t xml:space="preserve">0.598 (0.569–0.627)</w:t>
            </w:r>
          </w:p>
        </w:tc>
        <w:tc>
          <w:p>
            <w:pPr>
              <w:pStyle w:val="Compact"/>
              <w:jc w:val="right"/>
            </w:pPr>
            <w:r>
              <w:t xml:space="preserve">0.149</w:t>
            </w:r>
          </w:p>
        </w:tc>
        <w:tc>
          <w:p>
            <w:pPr>
              <w:pStyle w:val="Compact"/>
              <w:jc w:val="right"/>
            </w:pPr>
            <w:r>
              <w:t xml:space="preserve">0.72</w:t>
            </w:r>
          </w:p>
        </w:tc>
        <w:tc>
          <w:p>
            <w:pPr>
              <w:pStyle w:val="Compact"/>
              <w:jc w:val="right"/>
            </w:pPr>
            <w:r>
              <w:t xml:space="preserve">+0.016</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N WTD</w:t>
            </w:r>
          </w:p>
        </w:tc>
        <w:tc>
          <w:p>
            <w:pPr>
              <w:pStyle w:val="Compact"/>
              <w:jc w:val="right"/>
            </w:pPr>
            <w:r>
              <w:t xml:space="preserve">0.590 (0.562–0.619)</w:t>
            </w:r>
          </w:p>
        </w:tc>
        <w:tc>
          <w:p>
            <w:pPr>
              <w:pStyle w:val="Compact"/>
              <w:jc w:val="right"/>
            </w:pPr>
            <w:r>
              <w:t xml:space="preserve">0.149</w:t>
            </w:r>
          </w:p>
        </w:tc>
        <w:tc>
          <w:p>
            <w:pPr>
              <w:pStyle w:val="Compact"/>
              <w:jc w:val="right"/>
            </w:pPr>
            <w:r>
              <w:t xml:space="preserve">0.85</w:t>
            </w:r>
          </w:p>
        </w:tc>
        <w:tc>
          <w:p>
            <w:pPr>
              <w:pStyle w:val="Compact"/>
              <w:jc w:val="right"/>
            </w:pPr>
            <w:r>
              <w:t xml:space="preserve">+0.002</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E LR</w:t>
            </w:r>
          </w:p>
        </w:tc>
        <w:tc>
          <w:p>
            <w:pPr>
              <w:pStyle w:val="Compact"/>
              <w:jc w:val="right"/>
            </w:pPr>
            <w:r>
              <w:t xml:space="preserve">0.670 (0.650–0.690)</w:t>
            </w:r>
          </w:p>
        </w:tc>
        <w:tc>
          <w:p>
            <w:pPr>
              <w:pStyle w:val="Compact"/>
              <w:jc w:val="right"/>
            </w:pPr>
            <w:r>
              <w:t xml:space="preserve">0.129</w:t>
            </w:r>
          </w:p>
        </w:tc>
        <w:tc>
          <w:p>
            <w:pPr>
              <w:pStyle w:val="Compact"/>
              <w:jc w:val="right"/>
            </w:pPr>
            <w:r>
              <w:t xml:space="preserve">1.05</w:t>
            </w:r>
          </w:p>
        </w:tc>
        <w:tc>
          <w:p>
            <w:pPr>
              <w:pStyle w:val="Compact"/>
              <w:jc w:val="right"/>
            </w:pPr>
            <w:r>
              <w:t xml:space="preserve">-0.001</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F LR</w:t>
            </w:r>
          </w:p>
        </w:tc>
        <w:tc>
          <w:p>
            <w:pPr>
              <w:pStyle w:val="Compact"/>
              <w:jc w:val="right"/>
            </w:pPr>
            <w:r>
              <w:t xml:space="preserve">0.644 (0.623–0.666)</w:t>
            </w:r>
          </w:p>
        </w:tc>
        <w:tc>
          <w:p>
            <w:pPr>
              <w:pStyle w:val="Compact"/>
              <w:jc w:val="right"/>
            </w:pPr>
            <w:r>
              <w:t xml:space="preserve">0.131</w:t>
            </w:r>
          </w:p>
        </w:tc>
        <w:tc>
          <w:p>
            <w:pPr>
              <w:pStyle w:val="Compact"/>
              <w:jc w:val="right"/>
            </w:pPr>
            <w:r>
              <w:t xml:space="preserve">1.10</w:t>
            </w:r>
          </w:p>
        </w:tc>
        <w:tc>
          <w:p>
            <w:pPr>
              <w:pStyle w:val="Compact"/>
              <w:jc w:val="right"/>
            </w:pPr>
            <w:r>
              <w:t xml:space="preserve">-0.002</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N WTD</w:t>
            </w:r>
          </w:p>
        </w:tc>
        <w:tc>
          <w:p>
            <w:pPr>
              <w:pStyle w:val="Compact"/>
              <w:jc w:val="right"/>
            </w:pPr>
            <w:r>
              <w:t xml:space="preserve">0.640 (0.619–0.663)</w:t>
            </w:r>
          </w:p>
        </w:tc>
        <w:tc>
          <w:p>
            <w:pPr>
              <w:pStyle w:val="Compact"/>
              <w:jc w:val="right"/>
            </w:pPr>
            <w:r>
              <w:t xml:space="preserve">0.131</w:t>
            </w:r>
          </w:p>
        </w:tc>
        <w:tc>
          <w:p>
            <w:pPr>
              <w:pStyle w:val="Compact"/>
              <w:jc w:val="right"/>
            </w:pPr>
            <w:r>
              <w:t xml:space="preserve">1.31</w:t>
            </w:r>
          </w:p>
        </w:tc>
        <w:tc>
          <w:p>
            <w:pPr>
              <w:pStyle w:val="Compact"/>
              <w:jc w:val="right"/>
            </w:pPr>
            <w:r>
              <w:t xml:space="preserve">+0.002</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E LR</w:t>
            </w:r>
          </w:p>
        </w:tc>
        <w:tc>
          <w:p>
            <w:pPr>
              <w:pStyle w:val="Compact"/>
              <w:jc w:val="right"/>
            </w:pPr>
            <w:r>
              <w:t xml:space="preserve">0.518 (0.364–0.673)</w:t>
            </w:r>
          </w:p>
        </w:tc>
        <w:tc>
          <w:p>
            <w:pPr>
              <w:pStyle w:val="Compact"/>
              <w:jc w:val="right"/>
            </w:pPr>
            <w:r>
              <w:t xml:space="preserve">0.171</w:t>
            </w:r>
          </w:p>
        </w:tc>
        <w:tc>
          <w:p>
            <w:pPr>
              <w:pStyle w:val="Compact"/>
              <w:jc w:val="right"/>
            </w:pPr>
            <w:r>
              <w:t xml:space="preserve">0.08</w:t>
            </w:r>
          </w:p>
        </w:tc>
        <w:tc>
          <w:p>
            <w:pPr>
              <w:pStyle w:val="Compact"/>
              <w:jc w:val="right"/>
            </w:pPr>
            <w:r>
              <w:t xml:space="preserve">+0.001</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F LR</w:t>
            </w:r>
          </w:p>
        </w:tc>
        <w:tc>
          <w:p>
            <w:pPr>
              <w:pStyle w:val="Compact"/>
              <w:jc w:val="right"/>
            </w:pPr>
            <w:r>
              <w:t xml:space="preserve">0.518 (0.357–0.687)</w:t>
            </w:r>
          </w:p>
        </w:tc>
        <w:tc>
          <w:p>
            <w:pPr>
              <w:pStyle w:val="Compact"/>
              <w:jc w:val="right"/>
            </w:pPr>
            <w:r>
              <w:t xml:space="preserve">0.169</w:t>
            </w:r>
          </w:p>
        </w:tc>
        <w:tc>
          <w:p>
            <w:pPr>
              <w:pStyle w:val="Compact"/>
              <w:jc w:val="right"/>
            </w:pPr>
            <w:r>
              <w:t xml:space="preserve">0.30</w:t>
            </w:r>
          </w:p>
        </w:tc>
        <w:tc>
          <w:p>
            <w:pPr>
              <w:pStyle w:val="Compact"/>
              <w:jc w:val="right"/>
            </w:pPr>
            <w:r>
              <w:t xml:space="preserve">-0.003</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N WTD</w:t>
            </w:r>
          </w:p>
        </w:tc>
        <w:tc>
          <w:p>
            <w:pPr>
              <w:pStyle w:val="Compact"/>
              <w:jc w:val="right"/>
            </w:pPr>
            <w:r>
              <w:t xml:space="preserve">0.581 (0.418–0.741)</w:t>
            </w:r>
          </w:p>
        </w:tc>
        <w:tc>
          <w:p>
            <w:pPr>
              <w:pStyle w:val="Compact"/>
              <w:jc w:val="right"/>
            </w:pPr>
            <w:r>
              <w:t xml:space="preserve">0.162</w:t>
            </w:r>
          </w:p>
        </w:tc>
        <w:tc>
          <w:p>
            <w:pPr>
              <w:pStyle w:val="Compact"/>
              <w:jc w:val="right"/>
            </w:pPr>
            <w:r>
              <w:t xml:space="preserve">0.73</w:t>
            </w:r>
          </w:p>
        </w:tc>
        <w:tc>
          <w:p>
            <w:pPr>
              <w:pStyle w:val="Compact"/>
              <w:jc w:val="right"/>
            </w:pPr>
            <w:r>
              <w:t xml:space="preserve">-0.018</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E LR</w:t>
            </w:r>
          </w:p>
        </w:tc>
        <w:tc>
          <w:p>
            <w:pPr>
              <w:pStyle w:val="Compact"/>
              <w:jc w:val="right"/>
            </w:pPr>
            <w:r>
              <w:t xml:space="preserve">0.654 (0.597–0.708)</w:t>
            </w:r>
          </w:p>
        </w:tc>
        <w:tc>
          <w:p>
            <w:pPr>
              <w:pStyle w:val="Compact"/>
              <w:jc w:val="right"/>
            </w:pPr>
            <w:r>
              <w:t xml:space="preserve">0.111</w:t>
            </w:r>
          </w:p>
        </w:tc>
        <w:tc>
          <w:p>
            <w:pPr>
              <w:pStyle w:val="Compact"/>
              <w:jc w:val="right"/>
            </w:pPr>
            <w:r>
              <w:t xml:space="preserve">1.09</w:t>
            </w:r>
          </w:p>
        </w:tc>
        <w:tc>
          <w:p>
            <w:pPr>
              <w:pStyle w:val="Compact"/>
              <w:jc w:val="right"/>
            </w:pPr>
            <w:r>
              <w:t xml:space="preserve">+0.022</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F LR</w:t>
            </w:r>
          </w:p>
        </w:tc>
        <w:tc>
          <w:p>
            <w:pPr>
              <w:pStyle w:val="Compact"/>
              <w:jc w:val="right"/>
            </w:pPr>
            <w:r>
              <w:t xml:space="preserve">0.625 (0.572–0.678)</w:t>
            </w:r>
          </w:p>
        </w:tc>
        <w:tc>
          <w:p>
            <w:pPr>
              <w:pStyle w:val="Compact"/>
              <w:jc w:val="right"/>
            </w:pPr>
            <w:r>
              <w:t xml:space="preserve">0.112</w:t>
            </w:r>
          </w:p>
        </w:tc>
        <w:tc>
          <w:p>
            <w:pPr>
              <w:pStyle w:val="Compact"/>
              <w:jc w:val="right"/>
            </w:pPr>
            <w:r>
              <w:t xml:space="preserve">1.17</w:t>
            </w:r>
          </w:p>
        </w:tc>
        <w:tc>
          <w:p>
            <w:pPr>
              <w:pStyle w:val="Compact"/>
              <w:jc w:val="right"/>
            </w:pPr>
            <w:r>
              <w:t xml:space="preserve">+0.017</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N WTD</w:t>
            </w:r>
          </w:p>
        </w:tc>
        <w:tc>
          <w:p>
            <w:pPr>
              <w:pStyle w:val="Compact"/>
              <w:jc w:val="right"/>
            </w:pPr>
            <w:r>
              <w:t xml:space="preserve">0.623 (0.565–0.678)</w:t>
            </w:r>
          </w:p>
        </w:tc>
        <w:tc>
          <w:p>
            <w:pPr>
              <w:pStyle w:val="Compact"/>
              <w:jc w:val="right"/>
            </w:pPr>
            <w:r>
              <w:t xml:space="preserve">0.113</w:t>
            </w:r>
          </w:p>
        </w:tc>
        <w:tc>
          <w:p>
            <w:pPr>
              <w:pStyle w:val="Compact"/>
              <w:jc w:val="right"/>
            </w:pPr>
            <w:r>
              <w:t xml:space="preserve">1.22</w:t>
            </w:r>
          </w:p>
        </w:tc>
        <w:tc>
          <w:p>
            <w:pPr>
              <w:pStyle w:val="Compact"/>
              <w:jc w:val="right"/>
            </w:pPr>
            <w:r>
              <w:t xml:space="preserve">+0.015</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E LR</w:t>
            </w:r>
          </w:p>
        </w:tc>
        <w:tc>
          <w:p>
            <w:pPr>
              <w:pStyle w:val="Compact"/>
              <w:jc w:val="right"/>
            </w:pPr>
            <w:r>
              <w:t xml:space="preserve">0.667 (0.631–0.706)</w:t>
            </w:r>
          </w:p>
        </w:tc>
        <w:tc>
          <w:p>
            <w:pPr>
              <w:pStyle w:val="Compact"/>
              <w:jc w:val="right"/>
            </w:pPr>
            <w:r>
              <w:t xml:space="preserve">0.158</w:t>
            </w:r>
          </w:p>
        </w:tc>
        <w:tc>
          <w:p>
            <w:pPr>
              <w:pStyle w:val="Compact"/>
              <w:jc w:val="right"/>
            </w:pPr>
            <w:r>
              <w:t xml:space="preserve">1.01</w:t>
            </w:r>
          </w:p>
        </w:tc>
        <w:tc>
          <w:p>
            <w:pPr>
              <w:pStyle w:val="Compact"/>
              <w:jc w:val="right"/>
            </w:pPr>
            <w:r>
              <w:t xml:space="preserve">-0.009</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F LR</w:t>
            </w:r>
          </w:p>
        </w:tc>
        <w:tc>
          <w:p>
            <w:pPr>
              <w:pStyle w:val="Compact"/>
              <w:jc w:val="right"/>
            </w:pPr>
            <w:r>
              <w:t xml:space="preserve">0.617 (0.575–0.660)</w:t>
            </w:r>
          </w:p>
        </w:tc>
        <w:tc>
          <w:p>
            <w:pPr>
              <w:pStyle w:val="Compact"/>
              <w:jc w:val="right"/>
            </w:pPr>
            <w:r>
              <w:t xml:space="preserve">0.162</w:t>
            </w:r>
          </w:p>
        </w:tc>
        <w:tc>
          <w:p>
            <w:pPr>
              <w:pStyle w:val="Compact"/>
              <w:jc w:val="right"/>
            </w:pPr>
            <w:r>
              <w:t xml:space="preserve">0.87</w:t>
            </w:r>
          </w:p>
        </w:tc>
        <w:tc>
          <w:p>
            <w:pPr>
              <w:pStyle w:val="Compact"/>
              <w:jc w:val="right"/>
            </w:pPr>
            <w:r>
              <w:t xml:space="preserve">-0.011</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N WTD</w:t>
            </w:r>
          </w:p>
        </w:tc>
        <w:tc>
          <w:p>
            <w:pPr>
              <w:pStyle w:val="Compact"/>
              <w:jc w:val="right"/>
            </w:pPr>
            <w:r>
              <w:t xml:space="preserve">0.609 (0.569–0.649)</w:t>
            </w:r>
          </w:p>
        </w:tc>
        <w:tc>
          <w:p>
            <w:pPr>
              <w:pStyle w:val="Compact"/>
              <w:jc w:val="right"/>
            </w:pPr>
            <w:r>
              <w:t xml:space="preserve">0.163</w:t>
            </w:r>
          </w:p>
        </w:tc>
        <w:tc>
          <w:p>
            <w:pPr>
              <w:pStyle w:val="Compact"/>
              <w:jc w:val="right"/>
            </w:pPr>
            <w:r>
              <w:t xml:space="preserve">1.12</w:t>
            </w:r>
          </w:p>
        </w:tc>
        <w:tc>
          <w:p>
            <w:pPr>
              <w:pStyle w:val="Compact"/>
              <w:jc w:val="right"/>
            </w:pPr>
            <w:r>
              <w:t xml:space="preserve">-0.020</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E LR</w:t>
            </w:r>
          </w:p>
        </w:tc>
        <w:tc>
          <w:p>
            <w:pPr>
              <w:pStyle w:val="Compact"/>
              <w:jc w:val="right"/>
            </w:pPr>
            <w:r>
              <w:t xml:space="preserve">0.663 (0.636–0.690)</w:t>
            </w:r>
          </w:p>
        </w:tc>
        <w:tc>
          <w:p>
            <w:pPr>
              <w:pStyle w:val="Compact"/>
              <w:jc w:val="right"/>
            </w:pPr>
            <w:r>
              <w:t xml:space="preserve">0.137</w:t>
            </w:r>
          </w:p>
        </w:tc>
        <w:tc>
          <w:p>
            <w:pPr>
              <w:pStyle w:val="Compact"/>
              <w:jc w:val="right"/>
            </w:pPr>
            <w:r>
              <w:t xml:space="preserve">0.98</w:t>
            </w:r>
          </w:p>
        </w:tc>
        <w:tc>
          <w:p>
            <w:pPr>
              <w:pStyle w:val="Compact"/>
              <w:jc w:val="right"/>
            </w:pPr>
            <w:r>
              <w:t xml:space="preserve">+0.003</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F LR</w:t>
            </w:r>
          </w:p>
        </w:tc>
        <w:tc>
          <w:p>
            <w:pPr>
              <w:pStyle w:val="Compact"/>
              <w:jc w:val="right"/>
            </w:pPr>
            <w:r>
              <w:t xml:space="preserve">0.633 (0.603–0.660)</w:t>
            </w:r>
          </w:p>
        </w:tc>
        <w:tc>
          <w:p>
            <w:pPr>
              <w:pStyle w:val="Compact"/>
              <w:jc w:val="right"/>
            </w:pPr>
            <w:r>
              <w:t xml:space="preserve">0.140</w:t>
            </w:r>
          </w:p>
        </w:tc>
        <w:tc>
          <w:p>
            <w:pPr>
              <w:pStyle w:val="Compact"/>
              <w:jc w:val="right"/>
            </w:pPr>
            <w:r>
              <w:t xml:space="preserve">0.89</w:t>
            </w:r>
          </w:p>
        </w:tc>
        <w:tc>
          <w:p>
            <w:pPr>
              <w:pStyle w:val="Compact"/>
              <w:jc w:val="right"/>
            </w:pPr>
            <w:r>
              <w:t xml:space="preserve">+0.001</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N WTD</w:t>
            </w:r>
          </w:p>
        </w:tc>
        <w:tc>
          <w:p>
            <w:pPr>
              <w:pStyle w:val="Compact"/>
              <w:jc w:val="right"/>
            </w:pPr>
            <w:r>
              <w:t xml:space="preserve">0.632 (0.603–0.659)</w:t>
            </w:r>
          </w:p>
        </w:tc>
        <w:tc>
          <w:p>
            <w:pPr>
              <w:pStyle w:val="Compact"/>
              <w:jc w:val="right"/>
            </w:pPr>
            <w:r>
              <w:t xml:space="preserve">0.139</w:t>
            </w:r>
          </w:p>
        </w:tc>
        <w:tc>
          <w:p>
            <w:pPr>
              <w:pStyle w:val="Compact"/>
              <w:jc w:val="right"/>
            </w:pPr>
            <w:r>
              <w:t xml:space="preserve">1.16</w:t>
            </w:r>
          </w:p>
        </w:tc>
        <w:tc>
          <w:p>
            <w:pPr>
              <w:pStyle w:val="Compact"/>
              <w:jc w:val="right"/>
            </w:pPr>
            <w:r>
              <w:t xml:space="preserve">-0.005</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E LR</w:t>
            </w:r>
          </w:p>
        </w:tc>
        <w:tc>
          <w:p>
            <w:pPr>
              <w:pStyle w:val="Compact"/>
              <w:jc w:val="right"/>
            </w:pPr>
            <w:r>
              <w:t xml:space="preserve">0.646 (0.623–0.665)</w:t>
            </w:r>
          </w:p>
        </w:tc>
        <w:tc>
          <w:p>
            <w:pPr>
              <w:pStyle w:val="Compact"/>
              <w:jc w:val="right"/>
            </w:pPr>
            <w:r>
              <w:t xml:space="preserve">0.132</w:t>
            </w:r>
          </w:p>
        </w:tc>
        <w:tc>
          <w:p>
            <w:pPr>
              <w:pStyle w:val="Compact"/>
              <w:jc w:val="right"/>
            </w:pPr>
            <w:r>
              <w:t xml:space="preserve">0.93</w:t>
            </w:r>
          </w:p>
        </w:tc>
        <w:tc>
          <w:p>
            <w:pPr>
              <w:pStyle w:val="Compact"/>
              <w:jc w:val="right"/>
            </w:pPr>
            <w:r>
              <w:t xml:space="preserve">+0.001</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F LR</w:t>
            </w:r>
          </w:p>
        </w:tc>
        <w:tc>
          <w:p>
            <w:pPr>
              <w:pStyle w:val="Compact"/>
              <w:jc w:val="right"/>
            </w:pPr>
            <w:r>
              <w:t xml:space="preserve">0.625 (0.603–0.645)</w:t>
            </w:r>
          </w:p>
        </w:tc>
        <w:tc>
          <w:p>
            <w:pPr>
              <w:pStyle w:val="Compact"/>
              <w:jc w:val="right"/>
            </w:pPr>
            <w:r>
              <w:t xml:space="preserve">0.133</w:t>
            </w:r>
          </w:p>
        </w:tc>
        <w:tc>
          <w:p>
            <w:pPr>
              <w:pStyle w:val="Compact"/>
              <w:jc w:val="right"/>
            </w:pPr>
            <w:r>
              <w:t xml:space="preserve">0.99</w:t>
            </w:r>
          </w:p>
        </w:tc>
        <w:tc>
          <w:p>
            <w:pPr>
              <w:pStyle w:val="Compact"/>
              <w:jc w:val="right"/>
            </w:pPr>
            <w:r>
              <w:t xml:space="preserve">+0.002</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N WTD</w:t>
            </w:r>
          </w:p>
        </w:tc>
        <w:tc>
          <w:p>
            <w:pPr>
              <w:pStyle w:val="Compact"/>
              <w:jc w:val="right"/>
            </w:pPr>
            <w:r>
              <w:t xml:space="preserve">0.618 (0.596–0.638)</w:t>
            </w:r>
          </w:p>
        </w:tc>
        <w:tc>
          <w:p>
            <w:pPr>
              <w:pStyle w:val="Compact"/>
              <w:jc w:val="right"/>
            </w:pPr>
            <w:r>
              <w:t xml:space="preserve">0.134</w:t>
            </w:r>
          </w:p>
        </w:tc>
        <w:tc>
          <w:p>
            <w:pPr>
              <w:pStyle w:val="Compact"/>
              <w:jc w:val="right"/>
            </w:pPr>
            <w:r>
              <w:t xml:space="preserve">1.13</w:t>
            </w:r>
          </w:p>
        </w:tc>
        <w:tc>
          <w:p>
            <w:pPr>
              <w:pStyle w:val="Compact"/>
              <w:jc w:val="right"/>
            </w:pPr>
            <w:r>
              <w:t xml:space="preserve">+0.001</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E LR</w:t>
            </w:r>
          </w:p>
        </w:tc>
        <w:tc>
          <w:p>
            <w:pPr>
              <w:pStyle w:val="Compact"/>
              <w:jc w:val="right"/>
            </w:pPr>
            <w:r>
              <w:t xml:space="preserve">0.695 (0.634–0.754)</w:t>
            </w:r>
          </w:p>
        </w:tc>
        <w:tc>
          <w:p>
            <w:pPr>
              <w:pStyle w:val="Compact"/>
              <w:jc w:val="right"/>
            </w:pPr>
            <w:r>
              <w:t xml:space="preserve">0.120</w:t>
            </w:r>
          </w:p>
        </w:tc>
        <w:tc>
          <w:p>
            <w:pPr>
              <w:pStyle w:val="Compact"/>
              <w:jc w:val="right"/>
            </w:pPr>
            <w:r>
              <w:t xml:space="preserve">1.29</w:t>
            </w:r>
          </w:p>
        </w:tc>
        <w:tc>
          <w:p>
            <w:pPr>
              <w:pStyle w:val="Compact"/>
              <w:jc w:val="right"/>
            </w:pPr>
            <w:r>
              <w:t xml:space="preserve">+0.009</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F LR</w:t>
            </w:r>
          </w:p>
        </w:tc>
        <w:tc>
          <w:p>
            <w:pPr>
              <w:pStyle w:val="Compact"/>
              <w:jc w:val="right"/>
            </w:pPr>
            <w:r>
              <w:t xml:space="preserve">0.648 (0.587–0.710)</w:t>
            </w:r>
          </w:p>
        </w:tc>
        <w:tc>
          <w:p>
            <w:pPr>
              <w:pStyle w:val="Compact"/>
              <w:jc w:val="right"/>
            </w:pPr>
            <w:r>
              <w:t xml:space="preserve">0.124</w:t>
            </w:r>
          </w:p>
        </w:tc>
        <w:tc>
          <w:p>
            <w:pPr>
              <w:pStyle w:val="Compact"/>
              <w:jc w:val="right"/>
            </w:pPr>
            <w:r>
              <w:t xml:space="preserve">1.06</w:t>
            </w:r>
          </w:p>
        </w:tc>
        <w:tc>
          <w:p>
            <w:pPr>
              <w:pStyle w:val="Compact"/>
              <w:jc w:val="right"/>
            </w:pPr>
            <w:r>
              <w:t xml:space="preserve">+0.002</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N WTD</w:t>
            </w:r>
          </w:p>
        </w:tc>
        <w:tc>
          <w:p>
            <w:pPr>
              <w:pStyle w:val="Compact"/>
              <w:jc w:val="right"/>
            </w:pPr>
            <w:r>
              <w:t xml:space="preserve">0.658 (0.598–0.713)</w:t>
            </w:r>
          </w:p>
        </w:tc>
        <w:tc>
          <w:p>
            <w:pPr>
              <w:pStyle w:val="Compact"/>
              <w:jc w:val="right"/>
            </w:pPr>
            <w:r>
              <w:t xml:space="preserve">0.124</w:t>
            </w:r>
          </w:p>
        </w:tc>
        <w:tc>
          <w:p>
            <w:pPr>
              <w:pStyle w:val="Compact"/>
              <w:jc w:val="right"/>
            </w:pPr>
            <w:r>
              <w:t xml:space="preserve">1.52</w:t>
            </w:r>
          </w:p>
        </w:tc>
        <w:tc>
          <w:p>
            <w:pPr>
              <w:pStyle w:val="Compact"/>
              <w:jc w:val="right"/>
            </w:pPr>
            <w:r>
              <w:t xml:space="preserve">+0.011</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E LR</w:t>
            </w:r>
          </w:p>
        </w:tc>
        <w:tc>
          <w:p>
            <w:pPr>
              <w:pStyle w:val="Compact"/>
              <w:jc w:val="right"/>
            </w:pPr>
            <w:r>
              <w:t xml:space="preserve">0.615 (0.565–0.664)</w:t>
            </w:r>
          </w:p>
        </w:tc>
        <w:tc>
          <w:p>
            <w:pPr>
              <w:pStyle w:val="Compact"/>
              <w:jc w:val="right"/>
            </w:pPr>
            <w:r>
              <w:t xml:space="preserve">0.151</w:t>
            </w:r>
          </w:p>
        </w:tc>
        <w:tc>
          <w:p>
            <w:pPr>
              <w:pStyle w:val="Compact"/>
              <w:jc w:val="right"/>
            </w:pPr>
            <w:r>
              <w:t xml:space="preserve">0.72</w:t>
            </w:r>
          </w:p>
        </w:tc>
        <w:tc>
          <w:p>
            <w:pPr>
              <w:pStyle w:val="Compact"/>
              <w:jc w:val="right"/>
            </w:pPr>
            <w:r>
              <w:t xml:space="preserve">-0.013</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F LR</w:t>
            </w:r>
          </w:p>
        </w:tc>
        <w:tc>
          <w:p>
            <w:pPr>
              <w:pStyle w:val="Compact"/>
              <w:jc w:val="right"/>
            </w:pPr>
            <w:r>
              <w:t xml:space="preserve">0.589 (0.537–0.642)</w:t>
            </w:r>
          </w:p>
        </w:tc>
        <w:tc>
          <w:p>
            <w:pPr>
              <w:pStyle w:val="Compact"/>
              <w:jc w:val="right"/>
            </w:pPr>
            <w:r>
              <w:t xml:space="preserve">0.153</w:t>
            </w:r>
          </w:p>
        </w:tc>
        <w:tc>
          <w:p>
            <w:pPr>
              <w:pStyle w:val="Compact"/>
              <w:jc w:val="right"/>
            </w:pPr>
            <w:r>
              <w:t xml:space="preserve">0.66</w:t>
            </w:r>
          </w:p>
        </w:tc>
        <w:tc>
          <w:p>
            <w:pPr>
              <w:pStyle w:val="Compact"/>
              <w:jc w:val="right"/>
            </w:pPr>
            <w:r>
              <w:t xml:space="preserve">-0.010</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N WTD</w:t>
            </w:r>
          </w:p>
        </w:tc>
        <w:tc>
          <w:p>
            <w:pPr>
              <w:pStyle w:val="Compact"/>
              <w:jc w:val="right"/>
            </w:pPr>
            <w:r>
              <w:t xml:space="preserve">0.594 (0.543–0.643)</w:t>
            </w:r>
          </w:p>
        </w:tc>
        <w:tc>
          <w:p>
            <w:pPr>
              <w:pStyle w:val="Compact"/>
              <w:jc w:val="right"/>
            </w:pPr>
            <w:r>
              <w:t xml:space="preserve">0.151</w:t>
            </w:r>
          </w:p>
        </w:tc>
        <w:tc>
          <w:p>
            <w:pPr>
              <w:pStyle w:val="Compact"/>
              <w:jc w:val="right"/>
            </w:pPr>
            <w:r>
              <w:t xml:space="preserve">0.93</w:t>
            </w:r>
          </w:p>
        </w:tc>
        <w:tc>
          <w:p>
            <w:pPr>
              <w:pStyle w:val="Compact"/>
              <w:jc w:val="right"/>
            </w:pPr>
            <w:r>
              <w:t xml:space="preserve">-0.014</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E LR</w:t>
            </w:r>
          </w:p>
        </w:tc>
        <w:tc>
          <w:p>
            <w:pPr>
              <w:pStyle w:val="Compact"/>
              <w:jc w:val="right"/>
            </w:pPr>
            <w:r>
              <w:t xml:space="preserve">0.665 (0.644–0.685)</w:t>
            </w:r>
          </w:p>
        </w:tc>
        <w:tc>
          <w:p>
            <w:pPr>
              <w:pStyle w:val="Compact"/>
              <w:jc w:val="right"/>
            </w:pPr>
            <w:r>
              <w:t xml:space="preserve">0.134</w:t>
            </w:r>
          </w:p>
        </w:tc>
        <w:tc>
          <w:p>
            <w:pPr>
              <w:pStyle w:val="Compact"/>
              <w:jc w:val="right"/>
            </w:pPr>
            <w:r>
              <w:t xml:space="preserve">1.00</w:t>
            </w:r>
          </w:p>
        </w:tc>
        <w:tc>
          <w:p>
            <w:pPr>
              <w:pStyle w:val="Compact"/>
              <w:jc w:val="right"/>
            </w:pPr>
            <w:r>
              <w:t xml:space="preserve">+0.003</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F LR</w:t>
            </w:r>
          </w:p>
        </w:tc>
        <w:tc>
          <w:p>
            <w:pPr>
              <w:pStyle w:val="Compact"/>
              <w:jc w:val="right"/>
            </w:pPr>
            <w:r>
              <w:t xml:space="preserve">0.642 (0.620–0.662)</w:t>
            </w:r>
          </w:p>
        </w:tc>
        <w:tc>
          <w:p>
            <w:pPr>
              <w:pStyle w:val="Compact"/>
              <w:jc w:val="right"/>
            </w:pPr>
            <w:r>
              <w:t xml:space="preserve">0.135</w:t>
            </w:r>
          </w:p>
        </w:tc>
        <w:tc>
          <w:p>
            <w:pPr>
              <w:pStyle w:val="Compact"/>
              <w:jc w:val="right"/>
            </w:pPr>
            <w:r>
              <w:t xml:space="preserve">1.05</w:t>
            </w:r>
          </w:p>
        </w:tc>
        <w:tc>
          <w:p>
            <w:pPr>
              <w:pStyle w:val="Compact"/>
              <w:jc w:val="right"/>
            </w:pPr>
            <w:r>
              <w:t xml:space="preserve">+0.002</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N WTD</w:t>
            </w:r>
          </w:p>
        </w:tc>
        <w:tc>
          <w:p>
            <w:pPr>
              <w:pStyle w:val="Compact"/>
              <w:jc w:val="right"/>
            </w:pPr>
            <w:r>
              <w:t xml:space="preserve">0.632 (0.609–0.653)</w:t>
            </w:r>
          </w:p>
        </w:tc>
        <w:tc>
          <w:p>
            <w:pPr>
              <w:pStyle w:val="Compact"/>
              <w:jc w:val="right"/>
            </w:pPr>
            <w:r>
              <w:t xml:space="preserve">0.136</w:t>
            </w:r>
          </w:p>
        </w:tc>
        <w:tc>
          <w:p>
            <w:pPr>
              <w:pStyle w:val="Compact"/>
              <w:jc w:val="right"/>
            </w:pPr>
            <w:r>
              <w:t xml:space="preserve">1.19</w:t>
            </w:r>
          </w:p>
        </w:tc>
        <w:tc>
          <w:p>
            <w:pPr>
              <w:pStyle w:val="Compact"/>
              <w:jc w:val="right"/>
            </w:pPr>
            <w:r>
              <w:t xml:space="preserve">-0.003</w:t>
            </w:r>
          </w:p>
        </w:tc>
      </w:tr>
    </w:tbl>
    <w:p>
      <w:pPr>
        <w:pStyle w:val="BodyText"/>
      </w:pPr>
      <w:r>
        <w:t xml:space="preserve">E LR: embedded logistic regression; F LR: feature-vector logistic regression; N WTD: importance-weighted nearest-neighbor prediction (k = 295). Events denotes positive TRD proxy outcomes. Mean risk difference is mean predicted probability minus observed frequency.</w:t>
      </w:r>
    </w:p>
    <w:bookmarkEnd w:id="21"/>
    <w:bookmarkStart w:id="22" w:name="s9-3-clinical-strata"/>
    <w:p>
      <w:pPr>
        <w:pStyle w:val="Heading2"/>
      </w:pPr>
      <w:r>
        <w:t xml:space="preserve">S9 3 Clinical strata</w:t>
      </w:r>
    </w:p>
    <w:p>
      <w:pPr>
        <w:pStyle w:val="FirstParagraph"/>
      </w:pPr>
      <w:r>
        <w:t xml:space="preserve">Table S11. Discrimination and calibration by recorded depression phenotype, one representative model per arm.</w:t>
      </w:r>
    </w:p>
    <w:tbl>
      <w:tblPr>
        <w:tblStyle w:val="Table"/>
        <w:tblW w:type="pct" w:w="4999.999999999999"/>
        <w:tblLook w:firstRow="1" w:lastRow="0" w:firstColumn="0" w:lastColumn="0" w:noHBand="0" w:noVBand="0" w:val="0020"/>
      </w:tblPr>
      <w:tblGrid>
        <w:gridCol w:w="2449"/>
        <w:gridCol w:w="571"/>
        <w:gridCol w:w="571"/>
        <w:gridCol w:w="489"/>
        <w:gridCol w:w="1714"/>
        <w:gridCol w:w="571"/>
        <w:gridCol w:w="734"/>
        <w:gridCol w:w="816"/>
      </w:tblGrid>
      <w:tr>
        <w:tc>
          <w:p>
            <w:pPr>
              <w:pStyle w:val="Compact"/>
              <w:jc w:val="left"/>
            </w:pPr>
            <w:r>
              <w:rPr>
                <w:bCs/>
                <w:b/>
              </w:rPr>
              <w:t xml:space="preserve">Group</w:t>
            </w:r>
          </w:p>
        </w:tc>
        <w:tc>
          <w:p>
            <w:pPr>
              <w:pStyle w:val="Compact"/>
              <w:jc w:val="right"/>
            </w:pPr>
            <w:r>
              <w:rPr>
                <w:bCs/>
                <w:b/>
              </w:rPr>
              <w:t xml:space="preserve">n</w:t>
            </w:r>
          </w:p>
        </w:tc>
        <w:tc>
          <w:p>
            <w:pPr>
              <w:pStyle w:val="Compact"/>
              <w:jc w:val="right"/>
            </w:pPr>
            <w:r>
              <w:rPr>
                <w:bCs/>
                <w:b/>
              </w:rPr>
              <w:t xml:space="preserve">Events</w:t>
            </w:r>
          </w:p>
        </w:tc>
        <w:tc>
          <w:p>
            <w:pPr>
              <w:pStyle w:val="Compact"/>
              <w:jc w:val="left"/>
            </w:pPr>
            <w:r>
              <w:rPr>
                <w:bCs/>
                <w:b/>
              </w:rPr>
              <w:t xml:space="preserve">Arm</w:t>
            </w:r>
          </w:p>
        </w:tc>
        <w:tc>
          <w:p>
            <w:pPr>
              <w:pStyle w:val="Compact"/>
              <w:jc w:val="right"/>
            </w:pPr>
            <w:r>
              <w:rPr>
                <w:bCs/>
                <w:b/>
              </w:rPr>
              <w:t xml:space="preserve">ROC AUC (95% CI)</w:t>
            </w:r>
          </w:p>
        </w:tc>
        <w:tc>
          <w:p>
            <w:pPr>
              <w:pStyle w:val="Compact"/>
              <w:jc w:val="right"/>
            </w:pPr>
            <w:r>
              <w:rPr>
                <w:bCs/>
                <w:b/>
              </w:rPr>
              <w:t xml:space="preserve">Brier</w:t>
            </w:r>
          </w:p>
        </w:tc>
        <w:tc>
          <w:p>
            <w:pPr>
              <w:pStyle w:val="Compact"/>
              <w:jc w:val="right"/>
            </w:pPr>
            <w:r>
              <w:rPr>
                <w:bCs/>
                <w:b/>
              </w:rPr>
              <w:t xml:space="preserve">Logistic slope</w:t>
            </w:r>
          </w:p>
        </w:tc>
        <w:tc>
          <w:p>
            <w:pPr>
              <w:pStyle w:val="Compact"/>
              <w:jc w:val="right"/>
            </w:pPr>
            <w:r>
              <w:rPr>
                <w:bCs/>
                <w:b/>
              </w:rPr>
              <w:t xml:space="preserve">Mean risk difference</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E LR</w:t>
            </w:r>
          </w:p>
        </w:tc>
        <w:tc>
          <w:p>
            <w:pPr>
              <w:pStyle w:val="Compact"/>
              <w:jc w:val="right"/>
            </w:pPr>
            <w:r>
              <w:t xml:space="preserve">0.683 (0.624–0.742)</w:t>
            </w:r>
          </w:p>
        </w:tc>
        <w:tc>
          <w:p>
            <w:pPr>
              <w:pStyle w:val="Compact"/>
              <w:jc w:val="right"/>
            </w:pPr>
            <w:r>
              <w:t xml:space="preserve">0.130</w:t>
            </w:r>
          </w:p>
        </w:tc>
        <w:tc>
          <w:p>
            <w:pPr>
              <w:pStyle w:val="Compact"/>
              <w:jc w:val="right"/>
            </w:pPr>
            <w:r>
              <w:t xml:space="preserve">1.39</w:t>
            </w:r>
          </w:p>
        </w:tc>
        <w:tc>
          <w:p>
            <w:pPr>
              <w:pStyle w:val="Compact"/>
              <w:jc w:val="right"/>
            </w:pPr>
            <w:r>
              <w:t xml:space="preserve">-0.020</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F LR</w:t>
            </w:r>
          </w:p>
        </w:tc>
        <w:tc>
          <w:p>
            <w:pPr>
              <w:pStyle w:val="Compact"/>
              <w:jc w:val="right"/>
            </w:pPr>
            <w:r>
              <w:t xml:space="preserve">0.607 (0.547–0.667)</w:t>
            </w:r>
          </w:p>
        </w:tc>
        <w:tc>
          <w:p>
            <w:pPr>
              <w:pStyle w:val="Compact"/>
              <w:jc w:val="right"/>
            </w:pPr>
            <w:r>
              <w:t xml:space="preserve">0.135</w:t>
            </w:r>
          </w:p>
        </w:tc>
        <w:tc>
          <w:p>
            <w:pPr>
              <w:pStyle w:val="Compact"/>
              <w:jc w:val="right"/>
            </w:pPr>
            <w:r>
              <w:t xml:space="preserve">0.86</w:t>
            </w:r>
          </w:p>
        </w:tc>
        <w:tc>
          <w:p>
            <w:pPr>
              <w:pStyle w:val="Compact"/>
              <w:jc w:val="right"/>
            </w:pPr>
            <w:r>
              <w:t xml:space="preserve">-0.018</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N WTD</w:t>
            </w:r>
          </w:p>
        </w:tc>
        <w:tc>
          <w:p>
            <w:pPr>
              <w:pStyle w:val="Compact"/>
              <w:jc w:val="right"/>
            </w:pPr>
            <w:r>
              <w:t xml:space="preserve">0.607 (0.547–0.668)</w:t>
            </w:r>
          </w:p>
        </w:tc>
        <w:tc>
          <w:p>
            <w:pPr>
              <w:pStyle w:val="Compact"/>
              <w:jc w:val="right"/>
            </w:pPr>
            <w:r>
              <w:t xml:space="preserve">0.137</w:t>
            </w:r>
          </w:p>
        </w:tc>
        <w:tc>
          <w:p>
            <w:pPr>
              <w:pStyle w:val="Compact"/>
              <w:jc w:val="right"/>
            </w:pPr>
            <w:r>
              <w:t xml:space="preserve">1.30</w:t>
            </w:r>
          </w:p>
        </w:tc>
        <w:tc>
          <w:p>
            <w:pPr>
              <w:pStyle w:val="Compact"/>
              <w:jc w:val="right"/>
            </w:pPr>
            <w:r>
              <w:t xml:space="preserve">-0.020</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E LR</w:t>
            </w:r>
          </w:p>
        </w:tc>
        <w:tc>
          <w:p>
            <w:pPr>
              <w:pStyle w:val="Compact"/>
              <w:jc w:val="right"/>
            </w:pPr>
            <w:r>
              <w:t xml:space="preserve">0.652 (0.618–0.687)</w:t>
            </w:r>
          </w:p>
        </w:tc>
        <w:tc>
          <w:p>
            <w:pPr>
              <w:pStyle w:val="Compact"/>
              <w:jc w:val="right"/>
            </w:pPr>
            <w:r>
              <w:t xml:space="preserve">0.142</w:t>
            </w:r>
          </w:p>
        </w:tc>
        <w:tc>
          <w:p>
            <w:pPr>
              <w:pStyle w:val="Compact"/>
              <w:jc w:val="right"/>
            </w:pPr>
            <w:r>
              <w:t xml:space="preserve">0.98</w:t>
            </w:r>
          </w:p>
        </w:tc>
        <w:tc>
          <w:p>
            <w:pPr>
              <w:pStyle w:val="Compact"/>
              <w:jc w:val="right"/>
            </w:pPr>
            <w:r>
              <w:t xml:space="preserve">+0.003</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F LR</w:t>
            </w:r>
          </w:p>
        </w:tc>
        <w:tc>
          <w:p>
            <w:pPr>
              <w:pStyle w:val="Compact"/>
              <w:jc w:val="right"/>
            </w:pPr>
            <w:r>
              <w:t xml:space="preserve">0.634 (0.599–0.670)</w:t>
            </w:r>
          </w:p>
        </w:tc>
        <w:tc>
          <w:p>
            <w:pPr>
              <w:pStyle w:val="Compact"/>
              <w:jc w:val="right"/>
            </w:pPr>
            <w:r>
              <w:t xml:space="preserve">0.142</w:t>
            </w:r>
          </w:p>
        </w:tc>
        <w:tc>
          <w:p>
            <w:pPr>
              <w:pStyle w:val="Compact"/>
              <w:jc w:val="right"/>
            </w:pPr>
            <w:r>
              <w:t xml:space="preserve">1.06</w:t>
            </w:r>
          </w:p>
        </w:tc>
        <w:tc>
          <w:p>
            <w:pPr>
              <w:pStyle w:val="Compact"/>
              <w:jc w:val="right"/>
            </w:pPr>
            <w:r>
              <w:t xml:space="preserve">+0.001</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N WTD</w:t>
            </w:r>
          </w:p>
        </w:tc>
        <w:tc>
          <w:p>
            <w:pPr>
              <w:pStyle w:val="Compact"/>
              <w:jc w:val="right"/>
            </w:pPr>
            <w:r>
              <w:t xml:space="preserve">0.631 (0.593–0.666)</w:t>
            </w:r>
          </w:p>
        </w:tc>
        <w:tc>
          <w:p>
            <w:pPr>
              <w:pStyle w:val="Compact"/>
              <w:jc w:val="right"/>
            </w:pPr>
            <w:r>
              <w:t xml:space="preserve">0.143</w:t>
            </w:r>
          </w:p>
        </w:tc>
        <w:tc>
          <w:p>
            <w:pPr>
              <w:pStyle w:val="Compact"/>
              <w:jc w:val="right"/>
            </w:pPr>
            <w:r>
              <w:t xml:space="preserve">1.58</w:t>
            </w:r>
          </w:p>
        </w:tc>
        <w:tc>
          <w:p>
            <w:pPr>
              <w:pStyle w:val="Compact"/>
              <w:jc w:val="right"/>
            </w:pPr>
            <w:r>
              <w:t xml:space="preserve">-0.005</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E LR</w:t>
            </w:r>
          </w:p>
        </w:tc>
        <w:tc>
          <w:p>
            <w:pPr>
              <w:pStyle w:val="Compact"/>
              <w:jc w:val="right"/>
            </w:pPr>
            <w:r>
              <w:t xml:space="preserve">0.700 (0.648–0.749)</w:t>
            </w:r>
          </w:p>
        </w:tc>
        <w:tc>
          <w:p>
            <w:pPr>
              <w:pStyle w:val="Compact"/>
              <w:jc w:val="right"/>
            </w:pPr>
            <w:r>
              <w:t xml:space="preserve">0.187</w:t>
            </w:r>
          </w:p>
        </w:tc>
        <w:tc>
          <w:p>
            <w:pPr>
              <w:pStyle w:val="Compact"/>
              <w:jc w:val="right"/>
            </w:pPr>
            <w:r>
              <w:t xml:space="preserve">1.21</w:t>
            </w:r>
          </w:p>
        </w:tc>
        <w:tc>
          <w:p>
            <w:pPr>
              <w:pStyle w:val="Compact"/>
              <w:jc w:val="right"/>
            </w:pPr>
            <w:r>
              <w:t xml:space="preserve">+0.029</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F LR</w:t>
            </w:r>
          </w:p>
        </w:tc>
        <w:tc>
          <w:p>
            <w:pPr>
              <w:pStyle w:val="Compact"/>
              <w:jc w:val="right"/>
            </w:pPr>
            <w:r>
              <w:t xml:space="preserve">0.636 (0.578–0.690)</w:t>
            </w:r>
          </w:p>
        </w:tc>
        <w:tc>
          <w:p>
            <w:pPr>
              <w:pStyle w:val="Compact"/>
              <w:jc w:val="right"/>
            </w:pPr>
            <w:r>
              <w:t xml:space="preserve">0.197</w:t>
            </w:r>
          </w:p>
        </w:tc>
        <w:tc>
          <w:p>
            <w:pPr>
              <w:pStyle w:val="Compact"/>
              <w:jc w:val="right"/>
            </w:pPr>
            <w:r>
              <w:t xml:space="preserve">0.88</w:t>
            </w:r>
          </w:p>
        </w:tc>
        <w:tc>
          <w:p>
            <w:pPr>
              <w:pStyle w:val="Compact"/>
              <w:jc w:val="right"/>
            </w:pPr>
            <w:r>
              <w:t xml:space="preserve">+0.029</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N WTD</w:t>
            </w:r>
          </w:p>
        </w:tc>
        <w:tc>
          <w:p>
            <w:pPr>
              <w:pStyle w:val="Compact"/>
              <w:jc w:val="right"/>
            </w:pPr>
            <w:r>
              <w:t xml:space="preserve">0.678 (0.622–0.730)</w:t>
            </w:r>
          </w:p>
        </w:tc>
        <w:tc>
          <w:p>
            <w:pPr>
              <w:pStyle w:val="Compact"/>
              <w:jc w:val="right"/>
            </w:pPr>
            <w:r>
              <w:t xml:space="preserve">0.193</w:t>
            </w:r>
          </w:p>
        </w:tc>
        <w:tc>
          <w:p>
            <w:pPr>
              <w:pStyle w:val="Compact"/>
              <w:jc w:val="right"/>
            </w:pPr>
            <w:r>
              <w:t xml:space="preserve">1.86</w:t>
            </w:r>
          </w:p>
        </w:tc>
        <w:tc>
          <w:p>
            <w:pPr>
              <w:pStyle w:val="Compact"/>
              <w:jc w:val="right"/>
            </w:pPr>
            <w:r>
              <w:t xml:space="preserve">+0.014</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E LR</w:t>
            </w:r>
          </w:p>
        </w:tc>
        <w:tc>
          <w:p>
            <w:pPr>
              <w:pStyle w:val="Compact"/>
              <w:jc w:val="right"/>
            </w:pPr>
            <w:r>
              <w:t xml:space="preserve">0.641 (0.621–0.660)</w:t>
            </w:r>
          </w:p>
        </w:tc>
        <w:tc>
          <w:p>
            <w:pPr>
              <w:pStyle w:val="Compact"/>
              <w:jc w:val="right"/>
            </w:pPr>
            <w:r>
              <w:t xml:space="preserve">0.133</w:t>
            </w:r>
          </w:p>
        </w:tc>
        <w:tc>
          <w:p>
            <w:pPr>
              <w:pStyle w:val="Compact"/>
              <w:jc w:val="right"/>
            </w:pPr>
            <w:r>
              <w:t xml:space="preserve">0.94</w:t>
            </w:r>
          </w:p>
        </w:tc>
        <w:tc>
          <w:p>
            <w:pPr>
              <w:pStyle w:val="Compact"/>
              <w:jc w:val="right"/>
            </w:pPr>
            <w:r>
              <w:t xml:space="preserve">-0.000</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F LR</w:t>
            </w:r>
          </w:p>
        </w:tc>
        <w:tc>
          <w:p>
            <w:pPr>
              <w:pStyle w:val="Compact"/>
              <w:jc w:val="right"/>
            </w:pPr>
            <w:r>
              <w:t xml:space="preserve">0.615 (0.595–0.634)</w:t>
            </w:r>
          </w:p>
        </w:tc>
        <w:tc>
          <w:p>
            <w:pPr>
              <w:pStyle w:val="Compact"/>
              <w:jc w:val="right"/>
            </w:pPr>
            <w:r>
              <w:t xml:space="preserve">0.134</w:t>
            </w:r>
          </w:p>
        </w:tc>
        <w:tc>
          <w:p>
            <w:pPr>
              <w:pStyle w:val="Compact"/>
              <w:jc w:val="right"/>
            </w:pPr>
            <w:r>
              <w:t xml:space="preserve">0.98</w:t>
            </w:r>
          </w:p>
        </w:tc>
        <w:tc>
          <w:p>
            <w:pPr>
              <w:pStyle w:val="Compact"/>
              <w:jc w:val="right"/>
            </w:pPr>
            <w:r>
              <w:t xml:space="preserve">-0.001</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N WTD</w:t>
            </w:r>
          </w:p>
        </w:tc>
        <w:tc>
          <w:p>
            <w:pPr>
              <w:pStyle w:val="Compact"/>
              <w:jc w:val="right"/>
            </w:pPr>
            <w:r>
              <w:t xml:space="preserve">0.609 (0.590–0.628)</w:t>
            </w:r>
          </w:p>
        </w:tc>
        <w:tc>
          <w:p>
            <w:pPr>
              <w:pStyle w:val="Compact"/>
              <w:jc w:val="right"/>
            </w:pPr>
            <w:r>
              <w:t xml:space="preserve">0.135</w:t>
            </w:r>
          </w:p>
        </w:tc>
        <w:tc>
          <w:p>
            <w:pPr>
              <w:pStyle w:val="Compact"/>
              <w:jc w:val="right"/>
            </w:pPr>
            <w:r>
              <w:t xml:space="preserve">1.14</w:t>
            </w:r>
          </w:p>
        </w:tc>
        <w:tc>
          <w:p>
            <w:pPr>
              <w:pStyle w:val="Compact"/>
              <w:jc w:val="right"/>
            </w:pPr>
            <w:r>
              <w:t xml:space="preserve">-0.003</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E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F LR</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N WTD</w:t>
            </w:r>
          </w:p>
        </w:tc>
        <w:tc>
          <w:p>
            <w:pPr>
              <w:pStyle w:val="Compact"/>
              <w:jc w:val="right"/>
            </w:pPr>
            <w:r>
              <w:t xml:space="preserve">not estimable</w:t>
            </w:r>
          </w:p>
        </w:tc>
        <w:tc>
          <w:p>
            <w:pPr>
              <w:pStyle w:val="Compact"/>
              <w:jc w:val="right"/>
            </w:pPr>
            <w:r>
              <w:t xml:space="preserve">—</w:t>
            </w:r>
          </w:p>
        </w:tc>
        <w:tc>
          <w:p>
            <w:pPr>
              <w:pStyle w:val="Compact"/>
              <w:jc w:val="right"/>
            </w:pPr>
            <w:r>
              <w:t xml:space="preserve">—</w:t>
            </w:r>
          </w:p>
        </w:tc>
        <w:tc>
          <w:p>
            <w:pPr>
              <w:pStyle w:val="Compact"/>
              <w:jc w:val="right"/>
            </w:pPr>
            <w:r>
              <w:t xml:space="preserve">—</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E LR</w:t>
            </w:r>
          </w:p>
        </w:tc>
        <w:tc>
          <w:p>
            <w:pPr>
              <w:pStyle w:val="Compact"/>
              <w:jc w:val="right"/>
            </w:pPr>
            <w:r>
              <w:t xml:space="preserve">0.690 (0.638–0.748)</w:t>
            </w:r>
          </w:p>
        </w:tc>
        <w:tc>
          <w:p>
            <w:pPr>
              <w:pStyle w:val="Compact"/>
              <w:jc w:val="right"/>
            </w:pPr>
            <w:r>
              <w:t xml:space="preserve">0.130</w:t>
            </w:r>
          </w:p>
        </w:tc>
        <w:tc>
          <w:p>
            <w:pPr>
              <w:pStyle w:val="Compact"/>
              <w:jc w:val="right"/>
            </w:pPr>
            <w:r>
              <w:t xml:space="preserve">1.33</w:t>
            </w:r>
          </w:p>
        </w:tc>
        <w:tc>
          <w:p>
            <w:pPr>
              <w:pStyle w:val="Compact"/>
              <w:jc w:val="right"/>
            </w:pPr>
            <w:r>
              <w:t xml:space="preserve">+0.008</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F LR</w:t>
            </w:r>
          </w:p>
        </w:tc>
        <w:tc>
          <w:p>
            <w:pPr>
              <w:pStyle w:val="Compact"/>
              <w:jc w:val="right"/>
            </w:pPr>
            <w:r>
              <w:t xml:space="preserve">0.627 (0.565–0.687)</w:t>
            </w:r>
          </w:p>
        </w:tc>
        <w:tc>
          <w:p>
            <w:pPr>
              <w:pStyle w:val="Compact"/>
              <w:jc w:val="right"/>
            </w:pPr>
            <w:r>
              <w:t xml:space="preserve">0.134</w:t>
            </w:r>
          </w:p>
        </w:tc>
        <w:tc>
          <w:p>
            <w:pPr>
              <w:pStyle w:val="Compact"/>
              <w:jc w:val="right"/>
            </w:pPr>
            <w:r>
              <w:t xml:space="preserve">1.13</w:t>
            </w:r>
          </w:p>
        </w:tc>
        <w:tc>
          <w:p>
            <w:pPr>
              <w:pStyle w:val="Compact"/>
              <w:jc w:val="right"/>
            </w:pPr>
            <w:r>
              <w:t xml:space="preserve">+0.010</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N WTD</w:t>
            </w:r>
          </w:p>
        </w:tc>
        <w:tc>
          <w:p>
            <w:pPr>
              <w:pStyle w:val="Compact"/>
              <w:jc w:val="right"/>
            </w:pPr>
            <w:r>
              <w:t xml:space="preserve">0.628 (0.567–0.688)</w:t>
            </w:r>
          </w:p>
        </w:tc>
        <w:tc>
          <w:p>
            <w:pPr>
              <w:pStyle w:val="Compact"/>
              <w:jc w:val="right"/>
            </w:pPr>
            <w:r>
              <w:t xml:space="preserve">0.135</w:t>
            </w:r>
          </w:p>
        </w:tc>
        <w:tc>
          <w:p>
            <w:pPr>
              <w:pStyle w:val="Compact"/>
              <w:jc w:val="right"/>
            </w:pPr>
            <w:r>
              <w:t xml:space="preserve">2.22</w:t>
            </w:r>
          </w:p>
        </w:tc>
        <w:tc>
          <w:p>
            <w:pPr>
              <w:pStyle w:val="Compact"/>
              <w:jc w:val="right"/>
            </w:pPr>
            <w:r>
              <w:t xml:space="preserve">+0.003</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E LR</w:t>
            </w:r>
          </w:p>
        </w:tc>
        <w:tc>
          <w:p>
            <w:pPr>
              <w:pStyle w:val="Compact"/>
              <w:jc w:val="right"/>
            </w:pPr>
            <w:r>
              <w:t xml:space="preserve">0.698 (0.671–0.726)</w:t>
            </w:r>
          </w:p>
        </w:tc>
        <w:tc>
          <w:p>
            <w:pPr>
              <w:pStyle w:val="Compact"/>
              <w:jc w:val="right"/>
            </w:pPr>
            <w:r>
              <w:t xml:space="preserve">0.146</w:t>
            </w:r>
          </w:p>
        </w:tc>
        <w:tc>
          <w:p>
            <w:pPr>
              <w:pStyle w:val="Compact"/>
              <w:jc w:val="right"/>
            </w:pPr>
            <w:r>
              <w:t xml:space="preserve">1.09</w:t>
            </w:r>
          </w:p>
        </w:tc>
        <w:tc>
          <w:p>
            <w:pPr>
              <w:pStyle w:val="Compact"/>
              <w:jc w:val="right"/>
            </w:pPr>
            <w:r>
              <w:t xml:space="preserve">-0.000</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F LR</w:t>
            </w:r>
          </w:p>
        </w:tc>
        <w:tc>
          <w:p>
            <w:pPr>
              <w:pStyle w:val="Compact"/>
              <w:jc w:val="right"/>
            </w:pPr>
            <w:r>
              <w:t xml:space="preserve">0.676 (0.648–0.703)</w:t>
            </w:r>
          </w:p>
        </w:tc>
        <w:tc>
          <w:p>
            <w:pPr>
              <w:pStyle w:val="Compact"/>
              <w:jc w:val="right"/>
            </w:pPr>
            <w:r>
              <w:t xml:space="preserve">0.148</w:t>
            </w:r>
          </w:p>
        </w:tc>
        <w:tc>
          <w:p>
            <w:pPr>
              <w:pStyle w:val="Compact"/>
              <w:jc w:val="right"/>
            </w:pPr>
            <w:r>
              <w:t xml:space="preserve">1.07</w:t>
            </w:r>
          </w:p>
        </w:tc>
        <w:tc>
          <w:p>
            <w:pPr>
              <w:pStyle w:val="Compact"/>
              <w:jc w:val="right"/>
            </w:pPr>
            <w:r>
              <w:t xml:space="preserve">-0.002</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N WTD</w:t>
            </w:r>
          </w:p>
        </w:tc>
        <w:tc>
          <w:p>
            <w:pPr>
              <w:pStyle w:val="Compact"/>
              <w:jc w:val="right"/>
            </w:pPr>
            <w:r>
              <w:t xml:space="preserve">0.666 (0.639–0.693)</w:t>
            </w:r>
          </w:p>
        </w:tc>
        <w:tc>
          <w:p>
            <w:pPr>
              <w:pStyle w:val="Compact"/>
              <w:jc w:val="right"/>
            </w:pPr>
            <w:r>
              <w:t xml:space="preserve">0.150</w:t>
            </w:r>
          </w:p>
        </w:tc>
        <w:tc>
          <w:p>
            <w:pPr>
              <w:pStyle w:val="Compact"/>
              <w:jc w:val="right"/>
            </w:pPr>
            <w:r>
              <w:t xml:space="preserve">1.26</w:t>
            </w:r>
          </w:p>
        </w:tc>
        <w:tc>
          <w:p>
            <w:pPr>
              <w:pStyle w:val="Compact"/>
              <w:jc w:val="right"/>
            </w:pPr>
            <w:r>
              <w:t xml:space="preserve">-0.005</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E LR</w:t>
            </w:r>
          </w:p>
        </w:tc>
        <w:tc>
          <w:p>
            <w:pPr>
              <w:pStyle w:val="Compact"/>
              <w:jc w:val="right"/>
            </w:pPr>
            <w:r>
              <w:t xml:space="preserve">0.633 (0.612–0.652)</w:t>
            </w:r>
          </w:p>
        </w:tc>
        <w:tc>
          <w:p>
            <w:pPr>
              <w:pStyle w:val="Compact"/>
              <w:jc w:val="right"/>
            </w:pPr>
            <w:r>
              <w:t xml:space="preserve">0.134</w:t>
            </w:r>
          </w:p>
        </w:tc>
        <w:tc>
          <w:p>
            <w:pPr>
              <w:pStyle w:val="Compact"/>
              <w:jc w:val="right"/>
            </w:pPr>
            <w:r>
              <w:t xml:space="preserve">0.86</w:t>
            </w:r>
          </w:p>
        </w:tc>
        <w:tc>
          <w:p>
            <w:pPr>
              <w:pStyle w:val="Compact"/>
              <w:jc w:val="right"/>
            </w:pPr>
            <w:r>
              <w:t xml:space="preserve">+0.000</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F LR</w:t>
            </w:r>
          </w:p>
        </w:tc>
        <w:tc>
          <w:p>
            <w:pPr>
              <w:pStyle w:val="Compact"/>
              <w:jc w:val="right"/>
            </w:pPr>
            <w:r>
              <w:t xml:space="preserve">0.605 (0.584–0.626)</w:t>
            </w:r>
          </w:p>
        </w:tc>
        <w:tc>
          <w:p>
            <w:pPr>
              <w:pStyle w:val="Compact"/>
              <w:jc w:val="right"/>
            </w:pPr>
            <w:r>
              <w:t xml:space="preserve">0.136</w:t>
            </w:r>
          </w:p>
        </w:tc>
        <w:tc>
          <w:p>
            <w:pPr>
              <w:pStyle w:val="Compact"/>
              <w:jc w:val="right"/>
            </w:pPr>
            <w:r>
              <w:t xml:space="preserve">0.83</w:t>
            </w:r>
          </w:p>
        </w:tc>
        <w:tc>
          <w:p>
            <w:pPr>
              <w:pStyle w:val="Compact"/>
              <w:jc w:val="right"/>
            </w:pPr>
            <w:r>
              <w:t xml:space="preserve">-0.000</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N WTD</w:t>
            </w:r>
          </w:p>
        </w:tc>
        <w:tc>
          <w:p>
            <w:pPr>
              <w:pStyle w:val="Compact"/>
              <w:jc w:val="right"/>
            </w:pPr>
            <w:r>
              <w:t xml:space="preserve">0.603 (0.584–0.623)</w:t>
            </w:r>
          </w:p>
        </w:tc>
        <w:tc>
          <w:p>
            <w:pPr>
              <w:pStyle w:val="Compact"/>
              <w:jc w:val="right"/>
            </w:pPr>
            <w:r>
              <w:t xml:space="preserve">0.136</w:t>
            </w:r>
          </w:p>
        </w:tc>
        <w:tc>
          <w:p>
            <w:pPr>
              <w:pStyle w:val="Compact"/>
              <w:jc w:val="right"/>
            </w:pPr>
            <w:r>
              <w:t xml:space="preserve">1.03</w:t>
            </w:r>
          </w:p>
        </w:tc>
        <w:tc>
          <w:p>
            <w:pPr>
              <w:pStyle w:val="Compact"/>
              <w:jc w:val="right"/>
            </w:pPr>
            <w:r>
              <w:t xml:space="preserve">-0.004</w:t>
            </w:r>
          </w:p>
        </w:tc>
      </w:tr>
    </w:tbl>
    <w:p>
      <w:pPr>
        <w:pStyle w:val="BodyText"/>
      </w:pPr>
      <w:r>
        <w:t xml:space="preserve">E LR: embedded logistic regression; F LR: feature-vector logistic regression; N WTD: importance-weighted nearest-neighbor prediction (k = 295). Events denotes positive TRD proxy outcomes. Mean risk difference is mean predicted probability minus observed frequency.</w:t>
      </w:r>
    </w:p>
    <w:bookmarkEnd w:id="22"/>
    <w:bookmarkStart w:id="24" w:name="s9-4-adjusted-subgroup-comparisons"/>
    <w:p>
      <w:pPr>
        <w:pStyle w:val="Heading2"/>
      </w:pPr>
      <w:r>
        <w:t xml:space="preserve">S9 4 Adjusted Subgroup Comparisons</w:t>
      </w:r>
    </w:p>
    <w:p>
      <w:pPr>
        <w:pStyle w:val="FirstParagraph"/>
      </w:pPr>
      <w:r>
        <w:t xml:space="preserve">Of 240 contrasts, 58 had unadjusted CIs excluding zero and 23 survived Benjamini–Hochberg adjustment (Table S12).</w:t>
      </w:r>
    </w:p>
    <w:p>
      <w:pPr>
        <w:pStyle w:val="BodyText"/>
      </w:pPr>
      <w:r>
        <w:t xml:space="preserve">Table S12. Contrasts surviving Benjamini-Hochberg adjustment across all 240 reported comparisons, grouped by contrast and arm.</w:t>
      </w:r>
      <w:r>
        <w:t xml:space="preserve"> </w:t>
      </w:r>
      <w:r>
        <w:t xml:space="preserve">“</w:t>
      </w:r>
      <w:r>
        <w:t xml:space="preserve">Models surviving</w:t>
      </w:r>
      <w:r>
        <w:t xml:space="preserve">”</w:t>
      </w:r>
      <w:r>
        <w:t xml:space="preserve"> </w:t>
      </w:r>
      <w:r>
        <w:t xml:space="preserve">counts how many of that arm’s contrasted models cleared the threshold.</w:t>
      </w:r>
    </w:p>
    <w:tbl>
      <w:tblPr>
        <w:tblStyle w:val="Table"/>
        <w:tblW w:type="pct" w:w="5000.0"/>
        <w:tblLook w:firstRow="1" w:lastRow="0" w:firstColumn="0" w:lastColumn="0" w:noHBand="0" w:noVBand="0" w:val="0020"/>
      </w:tblPr>
      <w:tblGrid>
        <w:gridCol w:w="3381"/>
        <w:gridCol w:w="1512"/>
        <w:gridCol w:w="800"/>
        <w:gridCol w:w="1423"/>
        <w:gridCol w:w="800"/>
      </w:tblGrid>
      <w:tr>
        <w:tc>
          <w:p>
            <w:pPr>
              <w:pStyle w:val="Compact"/>
              <w:jc w:val="left"/>
            </w:pPr>
            <w:r>
              <w:rPr>
                <w:bCs/>
                <w:b/>
              </w:rPr>
              <w:t xml:space="preserve">Contrast</w:t>
            </w:r>
          </w:p>
        </w:tc>
        <w:tc>
          <w:p>
            <w:pPr>
              <w:pStyle w:val="Compact"/>
              <w:jc w:val="left"/>
            </w:pPr>
            <w:r>
              <w:rPr>
                <w:bCs/>
                <w:b/>
              </w:rPr>
              <w:t xml:space="preserve">Arm</w:t>
            </w:r>
          </w:p>
        </w:tc>
        <w:tc>
          <w:p>
            <w:pPr>
              <w:pStyle w:val="Compact"/>
              <w:jc w:val="left"/>
            </w:pPr>
            <w:r>
              <w:rPr>
                <w:bCs/>
                <w:b/>
              </w:rPr>
              <w:t xml:space="preserve">Models surviving</w:t>
            </w:r>
          </w:p>
        </w:tc>
        <w:tc>
          <w:p>
            <w:pPr>
              <w:pStyle w:val="Compact"/>
              <w:jc w:val="left"/>
            </w:pPr>
            <w:r>
              <w:rPr>
                <w:bCs/>
                <w:b/>
              </w:rPr>
              <w:t xml:space="preserve">ΔROC AUC range</w:t>
            </w:r>
          </w:p>
        </w:tc>
        <w:tc>
          <w:p>
            <w:pPr>
              <w:pStyle w:val="Compact"/>
              <w:jc w:val="left"/>
            </w:pPr>
            <w:r>
              <w:rPr>
                <w:bCs/>
                <w:b/>
              </w:rPr>
              <w:t xml:space="preserve">Smallest P (BH)</w:t>
            </w:r>
          </w:p>
        </w:tc>
      </w:tr>
      <w:tr>
        <w:tc>
          <w:p>
            <w:pPr>
              <w:pStyle w:val="Compact"/>
              <w:jc w:val="left"/>
            </w:pPr>
            <w:r>
              <w:t xml:space="preserve">Age: 18-29 vs rest</w:t>
            </w:r>
          </w:p>
        </w:tc>
        <w:tc>
          <w:p>
            <w:pPr>
              <w:pStyle w:val="Compact"/>
              <w:jc w:val="left"/>
            </w:pPr>
            <w:r>
              <w:t xml:space="preserve">Feature vector</w:t>
            </w:r>
          </w:p>
        </w:tc>
        <w:tc>
          <w:p>
            <w:pPr>
              <w:pStyle w:val="Compact"/>
              <w:jc w:val="left"/>
            </w:pPr>
            <w:r>
              <w:t xml:space="preserve">1 of 4</w:t>
            </w:r>
          </w:p>
        </w:tc>
        <w:tc>
          <w:p>
            <w:pPr>
              <w:pStyle w:val="Compact"/>
              <w:jc w:val="left"/>
            </w:pPr>
            <w:r>
              <w:t xml:space="preserve">-0.068 (95% CI -0.117 to -0.022)</w:t>
            </w:r>
          </w:p>
        </w:tc>
        <w:tc>
          <w:p>
            <w:pPr>
              <w:pStyle w:val="Compact"/>
              <w:jc w:val="left"/>
            </w:pPr>
            <w:r>
              <w:t xml:space="preserve">0.042</w:t>
            </w:r>
          </w:p>
        </w:tc>
      </w:tr>
      <w:tr>
        <w:tc>
          <w:p>
            <w:pPr>
              <w:pStyle w:val="Compact"/>
              <w:jc w:val="left"/>
            </w:pPr>
            <w:r>
              <w:t xml:space="preserve">MDD recurrence: Recurrent vs rest</w:t>
            </w:r>
          </w:p>
        </w:tc>
        <w:tc>
          <w:p>
            <w:pPr>
              <w:pStyle w:val="Compact"/>
              <w:jc w:val="left"/>
            </w:pPr>
            <w:r>
              <w:t xml:space="preserve">Embedded</w:t>
            </w:r>
          </w:p>
        </w:tc>
        <w:tc>
          <w:p>
            <w:pPr>
              <w:pStyle w:val="Compact"/>
              <w:jc w:val="left"/>
            </w:pPr>
            <w:r>
              <w:t xml:space="preserve">4 of 4</w:t>
            </w:r>
          </w:p>
        </w:tc>
        <w:tc>
          <w:p>
            <w:pPr>
              <w:pStyle w:val="Compact"/>
              <w:jc w:val="left"/>
            </w:pPr>
            <w:r>
              <w:t xml:space="preserve">+0.059 to +0.072</w:t>
            </w:r>
          </w:p>
        </w:tc>
        <w:tc>
          <w:p>
            <w:pPr>
              <w:pStyle w:val="Compact"/>
              <w:jc w:val="left"/>
            </w:pPr>
            <w:r>
              <w:t xml:space="preserve">0.015</w:t>
            </w:r>
          </w:p>
        </w:tc>
      </w:tr>
      <w:tr>
        <w:tc>
          <w:p>
            <w:pPr>
              <w:pStyle w:val="Compact"/>
              <w:jc w:val="left"/>
            </w:pPr>
            <w:r>
              <w:t xml:space="preserve">MDD recurrence: Recurrent vs rest</w:t>
            </w:r>
          </w:p>
        </w:tc>
        <w:tc>
          <w:p>
            <w:pPr>
              <w:pStyle w:val="Compact"/>
              <w:jc w:val="left"/>
            </w:pPr>
            <w:r>
              <w:t xml:space="preserve">Feature vector</w:t>
            </w:r>
          </w:p>
        </w:tc>
        <w:tc>
          <w:p>
            <w:pPr>
              <w:pStyle w:val="Compact"/>
              <w:jc w:val="left"/>
            </w:pPr>
            <w:r>
              <w:t xml:space="preserve">4 of 4</w:t>
            </w:r>
          </w:p>
        </w:tc>
        <w:tc>
          <w:p>
            <w:pPr>
              <w:pStyle w:val="Compact"/>
              <w:jc w:val="left"/>
            </w:pPr>
            <w:r>
              <w:t xml:space="preserve">+0.060 to +0.068</w:t>
            </w:r>
          </w:p>
        </w:tc>
        <w:tc>
          <w:p>
            <w:pPr>
              <w:pStyle w:val="Compact"/>
              <w:jc w:val="left"/>
            </w:pPr>
            <w:r>
              <w:t xml:space="preserve">0.015</w:t>
            </w:r>
          </w:p>
        </w:tc>
      </w:tr>
      <w:tr>
        <w:tc>
          <w:p>
            <w:pPr>
              <w:pStyle w:val="Compact"/>
              <w:jc w:val="left"/>
            </w:pPr>
            <w:r>
              <w:t xml:space="preserve">MDD recurrence: Recurrent vs rest</w:t>
            </w:r>
          </w:p>
        </w:tc>
        <w:tc>
          <w:p>
            <w:pPr>
              <w:pStyle w:val="Compact"/>
              <w:jc w:val="left"/>
            </w:pPr>
            <w:r>
              <w:t xml:space="preserve">Nearest neighbors</w:t>
            </w:r>
          </w:p>
        </w:tc>
        <w:tc>
          <w:p>
            <w:pPr>
              <w:pStyle w:val="Compact"/>
              <w:jc w:val="left"/>
            </w:pPr>
            <w:r>
              <w:t xml:space="preserve">2 of 2</w:t>
            </w:r>
          </w:p>
        </w:tc>
        <w:tc>
          <w:p>
            <w:pPr>
              <w:pStyle w:val="Compact"/>
              <w:jc w:val="left"/>
            </w:pPr>
            <w:r>
              <w:t xml:space="preserve">+0.053 to +0.060</w:t>
            </w:r>
          </w:p>
        </w:tc>
        <w:tc>
          <w:p>
            <w:pPr>
              <w:pStyle w:val="Compact"/>
              <w:jc w:val="left"/>
            </w:pPr>
            <w:r>
              <w:t xml:space="preserve">0.015</w:t>
            </w:r>
          </w:p>
        </w:tc>
      </w:tr>
      <w:tr>
        <w:tc>
          <w:p>
            <w:pPr>
              <w:pStyle w:val="Compact"/>
              <w:jc w:val="left"/>
            </w:pPr>
            <w:r>
              <w:t xml:space="preserve">MDD recurrence: Single Episode vs rest</w:t>
            </w:r>
          </w:p>
        </w:tc>
        <w:tc>
          <w:p>
            <w:pPr>
              <w:pStyle w:val="Compact"/>
              <w:jc w:val="left"/>
            </w:pPr>
            <w:r>
              <w:t xml:space="preserve">Embedded</w:t>
            </w:r>
          </w:p>
        </w:tc>
        <w:tc>
          <w:p>
            <w:pPr>
              <w:pStyle w:val="Compact"/>
              <w:jc w:val="left"/>
            </w:pPr>
            <w:r>
              <w:t xml:space="preserve">4 of 4</w:t>
            </w:r>
          </w:p>
        </w:tc>
        <w:tc>
          <w:p>
            <w:pPr>
              <w:pStyle w:val="Compact"/>
              <w:jc w:val="left"/>
            </w:pPr>
            <w:r>
              <w:t xml:space="preserve">-0.071 to -0.065</w:t>
            </w:r>
          </w:p>
        </w:tc>
        <w:tc>
          <w:p>
            <w:pPr>
              <w:pStyle w:val="Compact"/>
              <w:jc w:val="left"/>
            </w:pPr>
            <w:r>
              <w:t xml:space="preserve">0.015</w:t>
            </w:r>
          </w:p>
        </w:tc>
      </w:tr>
      <w:tr>
        <w:tc>
          <w:p>
            <w:pPr>
              <w:pStyle w:val="Compact"/>
              <w:jc w:val="left"/>
            </w:pPr>
            <w:r>
              <w:t xml:space="preserve">MDD recurrence: Single Episode vs rest</w:t>
            </w:r>
          </w:p>
        </w:tc>
        <w:tc>
          <w:p>
            <w:pPr>
              <w:pStyle w:val="Compact"/>
              <w:jc w:val="left"/>
            </w:pPr>
            <w:r>
              <w:t xml:space="preserve">Feature vector</w:t>
            </w:r>
          </w:p>
        </w:tc>
        <w:tc>
          <w:p>
            <w:pPr>
              <w:pStyle w:val="Compact"/>
              <w:jc w:val="left"/>
            </w:pPr>
            <w:r>
              <w:t xml:space="preserve">3 of 4</w:t>
            </w:r>
          </w:p>
        </w:tc>
        <w:tc>
          <w:p>
            <w:pPr>
              <w:pStyle w:val="Compact"/>
              <w:jc w:val="left"/>
            </w:pPr>
            <w:r>
              <w:t xml:space="preserve">-0.064 to -0.056</w:t>
            </w:r>
          </w:p>
        </w:tc>
        <w:tc>
          <w:p>
            <w:pPr>
              <w:pStyle w:val="Compact"/>
              <w:jc w:val="left"/>
            </w:pPr>
            <w:r>
              <w:t xml:space="preserve">0.027</w:t>
            </w:r>
          </w:p>
        </w:tc>
      </w:tr>
      <w:tr>
        <w:tc>
          <w:p>
            <w:pPr>
              <w:pStyle w:val="Compact"/>
              <w:jc w:val="left"/>
            </w:pPr>
            <w:r>
              <w:t xml:space="preserve">MDD recurrence: Single Episode vs rest</w:t>
            </w:r>
          </w:p>
        </w:tc>
        <w:tc>
          <w:p>
            <w:pPr>
              <w:pStyle w:val="Compact"/>
              <w:jc w:val="left"/>
            </w:pPr>
            <w:r>
              <w:t xml:space="preserve">Nearest neighbors</w:t>
            </w:r>
          </w:p>
        </w:tc>
        <w:tc>
          <w:p>
            <w:pPr>
              <w:pStyle w:val="Compact"/>
              <w:jc w:val="left"/>
            </w:pPr>
            <w:r>
              <w:t xml:space="preserve">2 of 2</w:t>
            </w:r>
          </w:p>
        </w:tc>
        <w:tc>
          <w:p>
            <w:pPr>
              <w:pStyle w:val="Compact"/>
              <w:jc w:val="left"/>
            </w:pPr>
            <w:r>
              <w:t xml:space="preserve">-0.058 to -0.047</w:t>
            </w:r>
          </w:p>
        </w:tc>
        <w:tc>
          <w:p>
            <w:pPr>
              <w:pStyle w:val="Compact"/>
              <w:jc w:val="left"/>
            </w:pPr>
            <w:r>
              <w:t xml:space="preserve">0.027</w:t>
            </w:r>
          </w:p>
        </w:tc>
      </w:tr>
      <w:tr>
        <w:tc>
          <w:p>
            <w:pPr>
              <w:pStyle w:val="Compact"/>
              <w:jc w:val="left"/>
            </w:pPr>
            <w:r>
              <w:t xml:space="preserve">Marital status: Never Married vs rest</w:t>
            </w:r>
          </w:p>
        </w:tc>
        <w:tc>
          <w:p>
            <w:pPr>
              <w:pStyle w:val="Compact"/>
              <w:jc w:val="left"/>
            </w:pPr>
            <w:r>
              <w:t xml:space="preserve">Embedded</w:t>
            </w:r>
          </w:p>
        </w:tc>
        <w:tc>
          <w:p>
            <w:pPr>
              <w:pStyle w:val="Compact"/>
              <w:jc w:val="left"/>
            </w:pPr>
            <w:r>
              <w:t xml:space="preserve">2 of 4</w:t>
            </w:r>
          </w:p>
        </w:tc>
        <w:tc>
          <w:p>
            <w:pPr>
              <w:pStyle w:val="Compact"/>
              <w:jc w:val="left"/>
            </w:pPr>
            <w:r>
              <w:t xml:space="preserve">-0.054 to -0.051</w:t>
            </w:r>
          </w:p>
        </w:tc>
        <w:tc>
          <w:p>
            <w:pPr>
              <w:pStyle w:val="Compact"/>
              <w:jc w:val="left"/>
            </w:pPr>
            <w:r>
              <w:t xml:space="preserve">0.015</w:t>
            </w:r>
          </w:p>
        </w:tc>
      </w:tr>
      <w:tr>
        <w:tc>
          <w:p>
            <w:pPr>
              <w:pStyle w:val="Compact"/>
              <w:jc w:val="left"/>
            </w:pPr>
            <w:r>
              <w:t xml:space="preserve">Marital status: Never Married vs rest</w:t>
            </w:r>
          </w:p>
        </w:tc>
        <w:tc>
          <w:p>
            <w:pPr>
              <w:pStyle w:val="Compact"/>
              <w:jc w:val="left"/>
            </w:pPr>
            <w:r>
              <w:t xml:space="preserve">Nearest neighbors</w:t>
            </w:r>
          </w:p>
        </w:tc>
        <w:tc>
          <w:p>
            <w:pPr>
              <w:pStyle w:val="Compact"/>
              <w:jc w:val="left"/>
            </w:pPr>
            <w:r>
              <w:t xml:space="preserve">1 of 2</w:t>
            </w:r>
          </w:p>
        </w:tc>
        <w:tc>
          <w:p>
            <w:pPr>
              <w:pStyle w:val="Compact"/>
              <w:jc w:val="left"/>
            </w:pPr>
            <w:r>
              <w:t xml:space="preserve">-0.047 (95% CI -0.079 to -0.011)</w:t>
            </w:r>
          </w:p>
        </w:tc>
        <w:tc>
          <w:p>
            <w:pPr>
              <w:pStyle w:val="Compact"/>
              <w:jc w:val="left"/>
            </w:pPr>
            <w:r>
              <w:t xml:space="preserve">0.042</w:t>
            </w:r>
          </w:p>
        </w:tc>
      </w:tr>
    </w:tbl>
    <w:p>
      <w:pPr>
        <w:pStyle w:val="BodyText"/>
      </w:pPr>
      <w:r>
        <w:t xml:space="preserve">Ranges span the surviving models’ point estimates. Every surviving contrast’s own 95% CI excludes zero; 2 single-model rows show theirs.</w:t>
      </w:r>
    </w:p>
    <w:p>
      <w:pPr>
        <w:pStyle w:val="BodyText"/>
      </w:pPr>
      <w:r>
        <w:t xml:space="preserve">All 10 male-minus-female AUC contrasts included zero; the largest absolute point difference was 0.012. This does not establish equivalent performance.</w:t>
      </w:r>
    </w:p>
    <w:p>
      <w:pPr>
        <w:pStyle w:val="BodyText"/>
      </w:pPr>
      <w:r>
        <w:t xml:space="preserve">All 10 White-minus-non-White AUC contrasts were positive (0.005–0.046); 5 excluded zero before adjustment, but none survived adjustment (minimum adjusted P=.15). For FEATURE logistic regression, calibration slopes were 0.98 in White patients and 0.79 in patients with other recorded racial categories.</w:t>
      </w:r>
    </w:p>
    <w:p>
      <w:pPr>
        <w:pStyle w:val="BodyText"/>
      </w:pPr>
      <w:r>
        <w:t xml:space="preserve">The other-recorded-race stratum had 302 events, compared with 1,181 among White patients, and wider CIs. The direction is consistent across related models, but these are correlated comparisons rather than independent replications. The data leave racial differences unresolved.</w:t>
      </w:r>
    </w:p>
    <w:p>
      <w:pPr>
        <w:pStyle w:val="BodyText"/>
      </w:pPr>
      <w:r>
        <w:t xml:space="preserve">Nineteen of the 23 adjusted contrasts involved recurrence. Recurrent coding was associated with higher discrimination in all 10 contrasted models (differences 0.053–0.072), and single-episode coding with lower discrimination (−0.071 to −0.047), which survived adjustment in 9. Severe coding did not survive adjustment in either retrieval arm at its best k (plain cosine +0.053, adjusted P=.26; importance-weighted +0.064, adjusted P=.18).</w:t>
      </w:r>
    </w:p>
    <w:p>
      <w:pPr>
        <w:pStyle w:val="BodyText"/>
      </w:pPr>
      <w:r>
        <w:t xml:space="preserve">The remaining 4 adjusted contrasts indicated lower discrimination among never-married patients in 2 EMBEDDED classifiers (−0.054 to −0.051; minimum adjusted P=.015) and in importance-weighted retrieval (−0.047; adjusted P=.04), and at ages 18–29 in FEATURE XGBoost (−0.068; adjusted P=.04). Their causes were not established.</w:t>
      </w:r>
    </w:p>
    <w:p>
      <w:pPr>
        <w:pStyle w:val="BodyText"/>
      </w:pPr>
      <w:r>
        <w:drawing>
          <wp:inline>
            <wp:extent cx="5120640" cy="6903282"/>
            <wp:effectExtent b="0" l="0" r="0" t="0"/>
            <wp:docPr descr="" title="" id="1" name="Picture"/>
            <a:graphic>
              <a:graphicData uri="http://schemas.openxmlformats.org/drawingml/2006/picture">
                <pic:pic>
                  <pic:nvPicPr>
                    <pic:cNvPr descr="../results/review/subgroups/subgroup_forest.png" id="0" name="Picture"/>
                    <pic:cNvPicPr>
                      <a:picLocks noChangeArrowheads="1" noChangeAspect="1"/>
                    </pic:cNvPicPr>
                  </pic:nvPicPr>
                  <pic:blipFill>
                    <a:blip r:embed="rId23"/>
                    <a:stretch>
                      <a:fillRect/>
                    </a:stretch>
                  </pic:blipFill>
                  <pic:spPr bwMode="auto">
                    <a:xfrm>
                      <a:off x="0" y="0"/>
                      <a:ext cx="5120640" cy="6903282"/>
                    </a:xfrm>
                    <a:prstGeom prst="rect">
                      <a:avLst/>
                    </a:prstGeom>
                    <a:noFill/>
                    <a:ln w="9525">
                      <a:noFill/>
                      <a:headEnd/>
                      <a:tailEnd/>
                    </a:ln>
                  </pic:spPr>
                </pic:pic>
              </a:graphicData>
            </a:graphic>
          </wp:inline>
        </w:drawing>
      </w:r>
    </w:p>
    <w:p>
      <w:pPr>
        <w:pStyle w:val="BodyText"/>
      </w:pPr>
      <w:r>
        <w:t xml:space="preserve">Figure S11. Subgroup discrimination across sociodemographic strata, one representative model per arm, with 95% bootstrap confidence intervals. The dotted line marks chance. Strata declared not estimable are omitted.</w:t>
      </w:r>
    </w:p>
    <w:bookmarkEnd w:id="24"/>
    <w:bookmarkEnd w:id="25"/>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2026-09-30T03:53:16Z</dcterms:created>
  <dcterms:modified xsi:type="dcterms:W3CDTF">2026-09-30T03:53:16Z</dcterms:modified>
</cp:coreProperties>
</file>

<file path=docProps/custom.xml><?xml version="1.0" encoding="utf-8"?>
<Properties xmlns="http://schemas.openxmlformats.org/officeDocument/2006/custom-properties" xmlns:vt="http://schemas.openxmlformats.org/officeDocument/2006/docPropsVTypes"/>
</file>