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2.png" ContentType="image/png"/>
  <Override PartName="/word/media/rId23.png" ContentType="image/png"/>
  <Override PartName="/word/media/rId27.png" ContentType="image/png"/>
  <Override PartName="/word/media/rId25.png" ContentType="image/png"/>
  <Override PartName="/word/media/rId26.png" ContentType="image/png"/>
  <Override PartName="/word/media/rId28.png" ContentType="image/png"/>
  <Override PartName="/word/media/rId20.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3b319a28540a2eebde7c4dc81a578fb022a8db8"/>
    <w:p>
      <w:pPr>
        <w:pStyle w:val="Heading1"/>
      </w:pPr>
      <w:r>
        <w:t xml:space="preserve">S12 Additional Model Diagnostics and Encoder Estimates</w:t>
      </w:r>
    </w:p>
    <w:bookmarkStart w:id="24" w:name="X00e30ecfb038ab3091c351365833ec0b278f913"/>
    <w:p>
      <w:pPr>
        <w:pStyle w:val="Heading2"/>
      </w:pPr>
      <w:r>
        <w:t xml:space="preserve">S12 1 Primary ROC Curves and Descriptive Operating Points</w:t>
      </w:r>
    </w:p>
    <w:p>
      <w:pPr>
        <w:pStyle w:val="FirstParagraph"/>
      </w:pPr>
      <w:r>
        <w:t xml:space="preserve">The primary ROC curves are shown in Figure S12. At test-selected Youden J thresholds of 0.165 and 0.173, embedded logistic regression and feature-vector XGBoost had sensitivity 0.65 and 0.62 and specificity 0.58 and 0.61. They identified 964 and 917 of 1,491 positive patients, with 2,932 and 2,768 false positives, respectively (Figure S13).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logistic_regression_EMBEDDED.png" id="0" name="Picture"/>
                    <pic:cNvPicPr>
                      <a:picLocks noChangeArrowheads="1" noChangeAspect="1"/>
                    </pic:cNvPicPr>
                  </pic:nvPicPr>
                  <pic:blipFill>
                    <a:blip r:embed="rId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xgboost_FEATURE.png" id="0" name="Picture"/>
                    <pic:cNvPicPr>
                      <a:picLocks noChangeArrowheads="1" noChangeAspect="1"/>
                    </pic:cNvPicPr>
                  </pic:nvPicPr>
                  <pic:blipFill>
                    <a:blip r:embed="rId2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S12.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logistic_regression_EMBEDDED.png" id="0" name="Picture"/>
                    <pic:cNvPicPr>
                      <a:picLocks noChangeArrowheads="1" noChangeAspect="1"/>
                    </pic:cNvPicPr>
                  </pic:nvPicPr>
                  <pic:blipFill>
                    <a:blip r:embed="rId2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xgboost_FEATURE.png" id="0" name="Picture"/>
                    <pic:cNvPicPr>
                      <a:picLocks noChangeArrowheads="1" noChangeAspect="1"/>
                    </pic:cNvPicPr>
                  </pic:nvPicPr>
                  <pic:blipFill>
                    <a:blip r:embed="rId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S13. Confusion matrices at test-selected Youden J thresholds for embedded logistic regression (A) and feature-vector XGBoost (B). TRD refers to the treatment-switching proxy.</w:t>
      </w:r>
    </w:p>
    <w:bookmarkEnd w:id="24"/>
    <w:bookmarkStart w:id="29" w:name="s12-2-structured-feature-importance"/>
    <w:p>
      <w:pPr>
        <w:pStyle w:val="Heading2"/>
      </w:pPr>
      <w:r>
        <w:t xml:space="preserve">S12 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S14).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logistic_regression.png" id="0" name="Picture"/>
                    <pic:cNvPicPr>
                      <a:picLocks noChangeArrowheads="1" noChangeAspect="1"/>
                    </pic:cNvPicPr>
                  </pic:nvPicPr>
                  <pic:blipFill>
                    <a:blip r:embed="rId25"/>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random_forest.png" id="0" name="Picture"/>
                    <pic:cNvPicPr>
                      <a:picLocks noChangeArrowheads="1" noChangeAspect="1"/>
                    </pic:cNvPicPr>
                  </pic:nvPicPr>
                  <pic:blipFill>
                    <a:blip r:embed="rId26"/>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Continued on the next page.</w:t>
      </w:r>
    </w:p>
    <w:p>
      <w:pPr>
        <w:pStyle w:val="BodyText"/>
      </w:pPr>
      <w:r>
        <w:t xml:space="preserve">C Gradient boosting</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gradient_boosting.png" id="0" name="Picture"/>
                    <pic:cNvPicPr>
                      <a:picLocks noChangeArrowheads="1" noChangeAspect="1"/>
                    </pic:cNvPicPr>
                  </pic:nvPicPr>
                  <pic:blipFill>
                    <a:blip r:embed="rId27"/>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xgboost.png" id="0" name="Picture"/>
                    <pic:cNvPicPr>
                      <a:picLocks noChangeArrowheads="1" noChangeAspect="1"/>
                    </pic:cNvPicPr>
                  </pic:nvPicPr>
                  <pic:blipFill>
                    <a:blip r:embed="rId28"/>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Structured feature importance for logistic regression (A), random forest (B), gradient boosting (C), and XGBoost (D). Logistic-regression bars show signed coefficients. Tree bars show native importance; colors reflect univariate associations, not conditional model effects or causal directions.</w:t>
      </w:r>
    </w:p>
    <w:bookmarkEnd w:id="29"/>
    <w:bookmarkStart w:id="31" w:name="X5343ccf87f9e5b60c8211f4797e1b4998f32523"/>
    <w:p>
      <w:pPr>
        <w:pStyle w:val="Heading2"/>
      </w:pPr>
      <w:r>
        <w:t xml:space="preserve">S12 3 Concept Permutation and Encoder Comparison</w:t>
      </w:r>
    </w:p>
    <w:p>
      <w:pPr>
        <w:pStyle w:val="FirstParagraph"/>
      </w:pPr>
      <w:r>
        <w:t xml:space="preserve">In the primary encoder, psychiatric-history permutation reduced AUC by 0.024–0.028 across classifiers; all paired CIs excluded zero. Medication burden reduced AUC by 0.003–0.027, with CIs excluding zero for 3 classifiers. Prior treatment reduced embedded logistic-regression AUC by 0.019 and the other models by 0.000–0.011, with CIs excluding zero for logistic regression and XGBoost. Among the remaining concepts, only the XGBoost contraindication contrast excluded zero (−0.005; 95% CI −0.008 to −0.001). Main-text Table 3 gives point differences; Figure S15 gives each model’s absolute AUC.</w:t>
      </w:r>
    </w:p>
    <w:p>
      <w:pPr>
        <w:pStyle w:val="BodyText"/>
      </w:pPr>
      <w:r>
        <w:drawing>
          <wp:inline>
            <wp:extent cx="5486400" cy="4059936"/>
            <wp:effectExtent b="0" l="0" r="0" t="0"/>
            <wp:docPr descr="" title="" id="1" name="Picture"/>
            <a:graphic>
              <a:graphicData uri="http://schemas.openxmlformats.org/drawingml/2006/picture">
                <pic:pic>
                  <pic:nvPicPr>
                    <pic:cNvPr descr="../results/Qwen-Qwen3-Embedding-8B/google_medgemma-27b-text-it/ablation_roc_ci_EMBEDDED.png" id="0" name="Picture"/>
                    <pic:cNvPicPr>
                      <a:picLocks noChangeArrowheads="1" noChangeAspect="1"/>
                    </pic:cNvPicPr>
                  </pic:nvPicPr>
                  <pic:blipFill>
                    <a:blip r:embed="rId30"/>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S15.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0.027–0.030 and medication-burden permutation by 0.022–0.034, with all paired CIs excluding zero. Medication burden exceeded psychiatric history in bge-en-icl (−0.034 versus −0.027);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Dimensions</w:t>
            </w:r>
          </w:p>
        </w:tc>
        <w:tc>
          <w:p>
            <w:pPr>
              <w:pStyle w:val="Compact"/>
              <w:jc w:val="left"/>
            </w:pPr>
            <w:r>
              <w:rPr>
                <w:bCs/>
                <w:b/>
              </w:rPr>
              <w:t xml:space="preserve">EPV</w:t>
            </w:r>
          </w:p>
        </w:tc>
        <w:tc>
          <w:p>
            <w:pPr>
              <w:pStyle w:val="Compact"/>
              <w:jc w:val="left"/>
            </w:pPr>
            <w:r>
              <w:rPr>
                <w:bCs/>
                <w:b/>
              </w:rPr>
              <w:t xml:space="preserve">ROC AUC (95% CI)</w:t>
            </w:r>
          </w:p>
        </w:tc>
      </w:tr>
      <w:tr>
        <w:tc>
          <w:p>
            <w:pPr>
              <w:pStyle w:val="Compact"/>
              <w:jc w:val="left"/>
            </w:pPr>
            <w:r>
              <w:t xml:space="preserve">bge-small-en-v1.5</w:t>
            </w:r>
          </w:p>
        </w:tc>
        <w:tc>
          <w:p>
            <w:pPr>
              <w:pStyle w:val="Compact"/>
              <w:jc w:val="left"/>
            </w:pPr>
            <w:r>
              <w:t xml:space="preserve">384</w:t>
            </w:r>
          </w:p>
        </w:tc>
        <w:tc>
          <w:p>
            <w:pPr>
              <w:pStyle w:val="Compact"/>
              <w:jc w:val="left"/>
            </w:pPr>
            <w:r>
              <w:t xml:space="preserve">15.5</w:t>
            </w:r>
          </w:p>
        </w:tc>
        <w:tc>
          <w:p>
            <w:pPr>
              <w:pStyle w:val="Compact"/>
              <w:jc w:val="left"/>
            </w:pPr>
            <w:r>
              <w:t xml:space="preserve">0.645 (0.629–0.660)</w:t>
            </w:r>
          </w:p>
        </w:tc>
      </w:tr>
      <w:tr>
        <w:tc>
          <w:p>
            <w:pPr>
              <w:pStyle w:val="Compact"/>
              <w:jc w:val="left"/>
            </w:pPr>
            <w:r>
              <w:t xml:space="preserve">bge-en-icl</w:t>
            </w:r>
          </w:p>
        </w:tc>
        <w:tc>
          <w:p>
            <w:pPr>
              <w:pStyle w:val="Compact"/>
              <w:jc w:val="left"/>
            </w:pPr>
            <w:r>
              <w:t xml:space="preserve">4,096</w:t>
            </w:r>
          </w:p>
        </w:tc>
        <w:tc>
          <w:p>
            <w:pPr>
              <w:pStyle w:val="Compact"/>
              <w:jc w:val="left"/>
            </w:pPr>
            <w:r>
              <w:t xml:space="preserve">1.5</w:t>
            </w:r>
          </w:p>
        </w:tc>
        <w:tc>
          <w:p>
            <w:pPr>
              <w:pStyle w:val="Compact"/>
              <w:jc w:val="left"/>
            </w:pPr>
            <w:r>
              <w:t xml:space="preserve">0.655 (0.641–0.670)</w:t>
            </w:r>
          </w:p>
        </w:tc>
      </w:tr>
      <w:tr>
        <w:tc>
          <w:p>
            <w:pPr>
              <w:pStyle w:val="Compact"/>
              <w:jc w:val="left"/>
            </w:pPr>
            <w:r>
              <w:t xml:space="preserve">Qwen3-Embedding-4B</w:t>
            </w:r>
          </w:p>
        </w:tc>
        <w:tc>
          <w:p>
            <w:pPr>
              <w:pStyle w:val="Compact"/>
              <w:jc w:val="left"/>
            </w:pPr>
            <w:r>
              <w:t xml:space="preserve">2,560</w:t>
            </w:r>
          </w:p>
        </w:tc>
        <w:tc>
          <w:p>
            <w:pPr>
              <w:pStyle w:val="Compact"/>
              <w:jc w:val="left"/>
            </w:pPr>
            <w:r>
              <w:t xml:space="preserve">2.3</w:t>
            </w:r>
          </w:p>
        </w:tc>
        <w:tc>
          <w:p>
            <w:pPr>
              <w:pStyle w:val="Compact"/>
              <w:jc w:val="left"/>
            </w:pPr>
            <w:r>
              <w:t xml:space="preserve">0.655 (0.641–0.670)</w:t>
            </w:r>
          </w:p>
        </w:tc>
      </w:tr>
      <w:tr>
        <w:tc>
          <w:p>
            <w:pPr>
              <w:pStyle w:val="Compact"/>
              <w:jc w:val="left"/>
            </w:pPr>
            <w:r>
              <w:t xml:space="preserve">Qwen3-Embedding-8B</w:t>
            </w:r>
          </w:p>
        </w:tc>
        <w:tc>
          <w:p>
            <w:pPr>
              <w:pStyle w:val="Compact"/>
              <w:jc w:val="left"/>
            </w:pPr>
            <w:r>
              <w:t xml:space="preserve">4,096</w:t>
            </w:r>
          </w:p>
        </w:tc>
        <w:tc>
          <w:p>
            <w:pPr>
              <w:pStyle w:val="Compact"/>
              <w:jc w:val="left"/>
            </w:pPr>
            <w:r>
              <w:t xml:space="preserve">1.5</w:t>
            </w:r>
          </w:p>
        </w:tc>
        <w:tc>
          <w:p>
            <w:pPr>
              <w:pStyle w:val="Compact"/>
              <w:jc w:val="left"/>
            </w:pPr>
            <w:r>
              <w:t xml:space="preserve">0.657 (0.643–0.672)</w:t>
            </w:r>
          </w:p>
        </w:tc>
      </w:tr>
    </w:tbl>
    <w:bookmarkEnd w:id="31"/>
    <w:bookmarkEnd w:id="32"/>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25" Target="media/rId25.png" /><Relationship Type="http://schemas.openxmlformats.org/officeDocument/2006/relationships/image" Id="rId26" Target="media/rId26.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2026-09-30T03:53:16Z</dcterms:created>
  <dcterms:modified xsi:type="dcterms:W3CDTF">2026-09-30T03:53:16Z</dcterms:modified>
</cp:coreProperties>
</file>

<file path=docProps/custom.xml><?xml version="1.0" encoding="utf-8"?>
<Properties xmlns="http://schemas.openxmlformats.org/officeDocument/2006/custom-properties" xmlns:vt="http://schemas.openxmlformats.org/officeDocument/2006/docPropsVTypes"/>
</file>