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9-model-development"/>
    <w:p>
      <w:pPr>
        <w:pStyle w:val="Heading1"/>
      </w:pPr>
      <w:r>
        <w:t xml:space="preserve">M9 Model Development</w:t>
      </w:r>
    </w:p>
    <w:p>
      <w:pPr>
        <w:pStyle w:val="FirstParagraph"/>
      </w:pPr>
      <w:r>
        <w:t xml:space="preserve">Four classifiers were fitted to each representation: logistic regression, random forest, gradient boosting, and XGBoost. For FEATURE, the column transformer standardized the numeric block, one-hot encoded categorical variables with binary categories collapsed and unknown inference-time levels ignored, and cast boolean indicators to integer without further transformation. EMBEDDED entered through the numeric branch only.</w:t>
      </w:r>
    </w:p>
    <w:p>
      <w:pPr>
        <w:pStyle w:val="BodyText"/>
      </w:pPr>
      <w:r>
        <w:t xml:space="preserve">Each classifier and its preprocessing steps formed a single scikit-learn pipeline. Five-fold grid search optimized training-set ROC AUC, after which the selected pipeline was refitted on all training patients. Scaling and category encoding were fitted within each fold. Classifier-specific tuning grids were identical across representations.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2026-10-10T14:41:37Z</dcterms:created>
  <dcterms:modified xsi:type="dcterms:W3CDTF">2026-10-10T14:41:37Z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