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0-neighbor-prediction"/>
    <w:p>
      <w:pPr>
        <w:pStyle w:val="Heading1"/>
      </w:pPr>
      <w:r>
        <w:t xml:space="preserve">M10 Neighbor Prediction</w:t>
      </w:r>
    </w:p>
    <w:p>
      <w:pPr>
        <w:pStyle w:val="FirstParagraph"/>
      </w:pPr>
      <w:r>
        <w:t xml:space="preserve">For EMBEDDED only, the predicted TRD probability for query patient q was the similarity-weighted mean of binary TRD labels among its k retrieved training neighbors: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t>R</m:t>
          </m:r>
          <m:r>
            <m:t>D</m:t>
          </m:r>
          <m:r>
            <m:rPr>
              <m:sty m:val="p"/>
            </m:rPr>
            <m:t>∣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neighbor</w:t>
      </w:r>
      <w:r>
        <w:t xml:space="preserve"> </w:t>
      </w:r>
      <m:oMath>
        <m:r>
          <m:t>i</m:t>
        </m:r>
      </m:oMath>
      <w:r>
        <w:t xml:space="preserve">’s TRD label,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similarity to q,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 sharpening exponent. Neighborhood concentration was summarized by the effective sample size,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 all weights are equal and falls as weight concentrates on fewer neighbors.</w:t>
      </w:r>
    </w:p>
    <w:p>
      <w:pPr>
        <w:pStyle w:val="BodyText"/>
      </w:pPr>
      <w:r>
        <w:t xml:space="preserve">Two similarity metrics were compared. Plain cosine similarity used the raw embeddings. Logistic-regression-weighted cosine similarity standardized each dimension with the embedded logistic regression’s own scaler,</w:t>
      </w:r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d</m:t>
            </m:r>
          </m:sub>
        </m:sSub>
      </m:oMath>
      <w:r>
        <w:t xml:space="preserve">, and weighted dimension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by its share of that model’s absolute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coefficients came from the model fitted on training patients, so no test outcome entered a risk score. The metric is supervised, whereas plain cosine similarity is not. Of 4,096 dimensions, 385 had non-zero coefficients, and the top 41 (1%) carried 31% of the absolute coefficient mass. To compare encoders whose logistic regressions were fitted under different penalties, the dimensions each model used were counted as the fewest holding 90% of its absolute coefficient mass, because a non-zero count is the full width under an L2 penalty. These counts describe the fitted models and carry no sampling interval.</w:t>
      </w:r>
    </w:p>
    <w:p>
      <w:pPr>
        <w:pStyle w:val="BodyText"/>
      </w:pPr>
      <w:r>
        <w:t xml:space="preserve">Neighbors were chosen in 2 ways, nearest and random. Nearest retrieval selected the k most similar training patients. Random retrieval drew k training patients at random for each test patient and averaged their outcomes with equal weights. A sweep evaluated every k from 1 to all 34,063 training patients for both, nearest retrieval under both metrics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1, 2, and 5. Random retrieval was nested so that k + 1 neighbors extend the k already drawn, and repeated in 1,000 draws seeded from the study seed; its band at each k is the 2.5th to 97.5th percentile of the AUC across draws. Each retrieval arm, the 2 nearest-neighbor metrics and random retrieval, therefore yields a curve over k, and no single k is the result. Where one value is needed, including ROC curves and confusion matrices, it is read at the arm’s best k: the k with the highest test AUC, the smallest on a tie, and for random retrieval the highest mean across draws. For Qwen3-Embedding-8B, the best k was 295 for logistic-regression-weighted and 757 for plain cosine similarity under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1, and 32,720 for random retrieval. Every best k was selected on the test patients, so the values at it are optimistic. These analyses were restricted to embeddings; no mixed-data similarity metric was specified for FEATURE.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2026-10-10T14:41:37Z</dcterms:created>
  <dcterms:modified xsi:type="dcterms:W3CDTF">2026-10-10T14:41:37Z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