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The record of a removal that was reversed. Not submitted.</w:t>
      </w:r>
    </w:p>
    <w:p>
      <w:pPr>
        <w:pStyle w:val="BodyText"/>
      </w:pPr>
      <w:r>
        <w:rPr>
          <w:b/>
          <w:bCs/>
        </w:rPr>
        <w:t xml:space="preserve">In one line.</w:t>
      </w:r>
      <w:r>
        <w:t xml:space="preserve"> </w:t>
      </w:r>
      <w:r>
        <w:t xml:space="preserve">Nine named items came out of the Discussion on 2026-09-03 to</w:t>
      </w:r>
      <w:r>
        <w:t xml:space="preserve"> </w:t>
      </w:r>
      <w:r>
        <w:t xml:space="preserve">match the supplied draft, which has none. The section is back in the manuscript</w:t>
      </w:r>
      <w:r>
        <w:t xml:space="preserve"> </w:t>
      </w:r>
      <w:r>
        <w:t xml:space="preserve">as of 2026-09-06, rewritten and with a tenth item added, so what follows is the</w:t>
      </w:r>
      <w:r>
        <w:t xml:space="preserve"> </w:t>
      </w:r>
      <w:r>
        <w:t xml:space="preserve">audit of where each limitation also lives and the earlier text of the section</w:t>
      </w:r>
      <w:r>
        <w:t xml:space="preserve"> </w:t>
      </w:r>
      <w:r>
        <w:t xml:space="preserve">rather than the submitted wording.</w:t>
      </w:r>
    </w:p>
    <w:bookmarkStart w:id="20" w:name="why-it-is-out"/>
    <w:p>
      <w:pPr>
        <w:pStyle w:val="Heading2"/>
      </w:pPr>
      <w:r>
        <w:t xml:space="preserve">1. Why it is out</w:t>
      </w:r>
    </w:p>
    <w:p>
      <w:pPr>
        <w:pStyle w:val="FirstParagraph"/>
      </w:pPr>
      <w:r>
        <w:t xml:space="preserve">The senior author’s Discussion of 2026-09-02 was taken as written, and it has no</w:t>
      </w:r>
      <w:r>
        <w:t xml:space="preserve"> </w:t>
      </w:r>
      <w:r>
        <w:t xml:space="preserve">Limitations section. Keeping one alongside it would have been arguing with the</w:t>
      </w:r>
      <w:r>
        <w:t xml:space="preserve"> </w:t>
      </w:r>
      <w:r>
        <w:t xml:space="preserve">draft rather than applying it. The judgement is the authors’ and will be raised</w:t>
      </w:r>
      <w:r>
        <w:t xml:space="preserve"> </w:t>
      </w:r>
      <w:r>
        <w:t xml:space="preserve">with him directly; until then the section lives here.</w:t>
      </w:r>
    </w:p>
    <w:bookmarkEnd w:id="20"/>
    <w:bookmarkStart w:id="21" w:name="what-survives-the-removal-and-where"/>
    <w:p>
      <w:pPr>
        <w:pStyle w:val="Heading2"/>
      </w:pPr>
      <w:r>
        <w:t xml:space="preserve">2. What survives the removal, and where</w:t>
      </w:r>
    </w:p>
    <w:p>
      <w:pPr>
        <w:pStyle w:val="FirstParagraph"/>
      </w:pPr>
      <w:r>
        <w:t xml:space="preserve">Seven of the nine say something the packet still says. Checked against the</w:t>
      </w:r>
      <w:r>
        <w:t xml:space="preserve"> </w:t>
      </w:r>
      <w:r>
        <w:t xml:space="preserve">manuscript and supplement as built on 2026-09-03, not from memory.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Still said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Representativeness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Study design and data source</w:t>
            </w:r>
            <w:r>
              <w:t xml:space="preserve"> </w:t>
            </w:r>
            <w:r>
              <w:t xml:space="preserve">(one community health system, Tulsa); Supplement M1, which carries the setting and the single-centre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definition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Outcome</w:t>
            </w:r>
            <w:r>
              <w:t xml:space="preserve"> </w:t>
            </w:r>
            <w:r>
              <w:t xml:space="preserve">(treatment-switch proxy, adequacy unverified, not validated against chart review); Supplement M3; Discussion,</w:t>
            </w:r>
            <w:r>
              <w:t xml:space="preserve"> </w:t>
            </w:r>
            <w:r>
              <w:rPr>
                <w:i/>
                <w:iCs/>
              </w:rPr>
              <w:t xml:space="preserve">Clinical interpretation</w:t>
            </w:r>
            <w:r>
              <w:t xml:space="preserve">, which makes the same argument at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Missing data and sample partition</w:t>
            </w:r>
            <w:r>
              <w:t xml:space="preserve">; Supplement M6 (frequencies, the religion age gradient, why no imputation model was defensible)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Study design and data source</w:t>
            </w:r>
            <w:r>
              <w:t xml:space="preserve"> </w:t>
            </w:r>
            <w:r>
              <w:t xml:space="preserve">(internal validation by random split, not temporal or external); Supplement M7 for the events-per-variable shortfall; Discussion,</w:t>
            </w:r>
            <w:r>
              <w:t xml:space="preserve"> </w:t>
            </w:r>
            <w:r>
              <w:rPr>
                <w:i/>
                <w:iCs/>
              </w:rPr>
              <w:t xml:space="preserve">Implications for validation and clinical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Ablation scope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Model development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Semantic-feature ablation</w:t>
            </w:r>
            <w:r>
              <w:t xml:space="preserve"> </w:t>
            </w:r>
            <w:r>
              <w:t xml:space="preserve">(the three questions it cannot answer); Discussion,</w:t>
            </w:r>
            <w:r>
              <w:t xml:space="preserve"> </w:t>
            </w:r>
            <w:r>
              <w:rPr>
                <w:i/>
                <w:iCs/>
              </w:rPr>
              <w:t xml:space="preserve">Implications</w:t>
            </w:r>
            <w:r>
              <w:t xml:space="preserve">, which names joint perturbation as the open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representational advantage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Statistical analysis and performance metrics</w:t>
            </w:r>
            <w:r>
              <w:t xml:space="preserve"> </w:t>
            </w:r>
            <w:r>
              <w:t xml:space="preserve">(no equivalence or noninferiority margin prespecified); Discussion,</w:t>
            </w:r>
            <w:r>
              <w:t xml:space="preserve"> </w:t>
            </w:r>
            <w:r>
              <w:rPr>
                <w:i/>
                <w:iCs/>
              </w:rPr>
              <w:t xml:space="preserve">Principal findings</w:t>
            </w:r>
            <w:r>
              <w:t xml:space="preserve"> </w:t>
            </w:r>
            <w:r>
              <w:t xml:space="preserve">(parity, not superiority)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</w:t>
            </w:r>
          </w:p>
        </w:tc>
        <w:tc>
          <w:tcPr/>
          <w:p>
            <w:pPr>
              <w:pStyle w:val="Compact"/>
            </w:pPr>
            <w:r>
              <w:t xml:space="preserve">Discussion,</w:t>
            </w:r>
            <w:r>
              <w:t xml:space="preserve"> </w:t>
            </w:r>
            <w:r>
              <w:rPr>
                <w:i/>
                <w:iCs/>
              </w:rPr>
              <w:t xml:space="preserve">Principal findings</w:t>
            </w:r>
            <w:r>
              <w:t xml:space="preserve"> </w:t>
            </w:r>
            <w:r>
              <w:t xml:space="preserve">(</w:t>
            </w:r>
            <w:r>
              <w:t xml:space="preserve">“This is not a fairness result”</w:t>
            </w:r>
            <w:r>
              <w:t xml:space="preserve">) and</w:t>
            </w:r>
            <w:r>
              <w:t xml:space="preserve"> </w:t>
            </w:r>
            <w:r>
              <w:rPr>
                <w:i/>
                <w:iCs/>
              </w:rPr>
              <w:t xml:space="preserve">Clinical interpretation</w:t>
            </w:r>
            <w:r>
              <w:t xml:space="preserve"> </w:t>
            </w:r>
            <w:r>
              <w:t xml:space="preserve">(a care-process phenotype can reproduce inequities with protected attributes omitted); Results,</w:t>
            </w:r>
            <w:r>
              <w:t xml:space="preserve"> </w:t>
            </w:r>
            <w:r>
              <w:rPr>
                <w:i/>
                <w:iCs/>
              </w:rPr>
              <w:t xml:space="preserve">Subgroup performance</w:t>
            </w:r>
            <w:r>
              <w:t xml:space="preserve"> </w:t>
            </w:r>
            <w:r>
              <w:t xml:space="preserve">and Supplement S10 for the evidence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point and calibration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Statistical analysis and performance metrics</w:t>
            </w:r>
            <w:r>
              <w:t xml:space="preserve">, which states both the optimism and the case-enriched calibration outright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Representation parity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Predictors and patient representations</w:t>
            </w:r>
            <w:r>
              <w:t xml:space="preserve"> </w:t>
            </w:r>
            <w:r>
              <w:t xml:space="preserve">(field inventories are not identical, so the comparison is between complete pipelines); Supplement S11, the field-level crosswalk</w:t>
            </w:r>
          </w:p>
        </w:tc>
      </w:tr>
    </w:tbl>
    <w:bookmarkEnd w:id="21"/>
    <w:bookmarkStart w:id="22" w:name="what-actually-left-the-packet"/>
    <w:p>
      <w:pPr>
        <w:pStyle w:val="Heading2"/>
      </w:pPr>
      <w:r>
        <w:t xml:space="preserve">3. What actually left the packet</w:t>
      </w:r>
    </w:p>
    <w:p>
      <w:pPr>
        <w:pStyle w:val="FirstParagraph"/>
      </w:pPr>
      <w:r>
        <w:t xml:space="preserve">Two sentences, and nothing else in the packet stands in for them. They are the</w:t>
      </w:r>
      <w:r>
        <w:t xml:space="preserve"> </w:t>
      </w:r>
      <w:r>
        <w:t xml:space="preserve">two to raise.</w:t>
      </w:r>
    </w:p>
    <w:p>
      <w:pPr>
        <w:pStyle w:val="BodyText"/>
      </w:pPr>
      <w:r>
        <w:rPr>
          <w:b/>
          <w:bCs/>
        </w:rPr>
        <w:t xml:space="preserve">The missingness handling may be the wrong one for a prediction problem.</w:t>
      </w:r>
      <w:r>
        <w:t xml:space="preserve"> </w:t>
      </w:r>
      <w:r>
        <w:t xml:space="preserve">The</w:t>
      </w:r>
      <w:r>
        <w:t xml:space="preserve"> </w:t>
      </w:r>
      <w:r>
        <w:t xml:space="preserve">packet says the vital signs were dropped because their recording is associated</w:t>
      </w:r>
      <w:r>
        <w:t xml:space="preserve"> </w:t>
      </w:r>
      <w:r>
        <w:t xml:space="preserve">with the outcome, and that this rules out missingness completely at random</w:t>
      </w:r>
      <w:r>
        <w:t xml:space="preserve"> </w:t>
      </w:r>
      <w:r>
        <w:t xml:space="preserve">without identifying a mechanism. It no longer says the self-critical half:</w:t>
      </w:r>
    </w:p>
    <w:p>
      <w:pPr>
        <w:pStyle w:val="BlockText"/>
      </w:pPr>
      <w:r>
        <w:t xml:space="preserve">It is also arguably the wrong handling for a prediction problem, where an</w:t>
      </w:r>
      <w:r>
        <w:t xml:space="preserve"> </w:t>
      </w:r>
      <w:r>
        <w:t xml:space="preserve">informative pattern of missingness is usable signal rather than a nuisance:</w:t>
      </w:r>
      <w:r>
        <w:t xml:space="preserve"> </w:t>
      </w:r>
      <w:r>
        <w:t xml:space="preserve">the missingness in fields such as religion and race/ethnicity is likewise</w:t>
      </w:r>
      <w:r>
        <w:t xml:space="preserve"> </w:t>
      </w:r>
      <w:r>
        <w:t xml:space="preserve">associated with TRD.</w:t>
      </w:r>
    </w:p>
    <w:p>
      <w:pPr>
        <w:pStyle w:val="FirstParagraph"/>
      </w:pPr>
      <w:r>
        <w:rPr>
          <w:b/>
          <w:bCs/>
        </w:rPr>
        <w:t xml:space="preserve">The reported discrimination is an upper bound.</w:t>
      </w:r>
      <w:r>
        <w:t xml:space="preserve"> </w:t>
      </w:r>
      <w:r>
        <w:t xml:space="preserve">The packet says the study is</w:t>
      </w:r>
      <w:r>
        <w:t xml:space="preserve"> </w:t>
      </w:r>
      <w:r>
        <w:t xml:space="preserve">an internal validation by a single random split and that transportability is</w:t>
      </w:r>
      <w:r>
        <w:t xml:space="preserve"> </w:t>
      </w:r>
      <w:r>
        <w:t xml:space="preserve">untested. It no longer draws the conclusion:</w:t>
      </w:r>
    </w:p>
    <w:p>
      <w:pPr>
        <w:pStyle w:val="BlockText"/>
      </w:pPr>
      <w:r>
        <w:t xml:space="preserve">Reported discrimination should be read as an upper bound on what the same</w:t>
      </w:r>
      <w:r>
        <w:t xml:space="preserve"> </w:t>
      </w:r>
      <w:r>
        <w:t xml:space="preserve">models would achieve on later data or in another system.</w:t>
      </w:r>
    </w:p>
    <w:p>
      <w:pPr>
        <w:pStyle w:val="FirstParagraph"/>
      </w:pPr>
      <w:r>
        <w:t xml:space="preserve">Both are one sentence. If the section stays out, the cheapest repair is to put</w:t>
      </w:r>
      <w:r>
        <w:t xml:space="preserve"> </w:t>
      </w:r>
      <w:r>
        <w:t xml:space="preserve">these two back into Methods and into</w:t>
      </w:r>
      <w:r>
        <w:t xml:space="preserve"> </w:t>
      </w:r>
      <w:r>
        <w:rPr>
          <w:i/>
          <w:iCs/>
        </w:rPr>
        <w:t xml:space="preserve">Implications for validation and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respectively, where they would sit without reintroducing a heading.</w:t>
      </w:r>
    </w:p>
    <w:bookmarkEnd w:id="22"/>
    <w:bookmarkStart w:id="24" w:name="the-section-verbatim"/>
    <w:p>
      <w:pPr>
        <w:pStyle w:val="Heading2"/>
      </w:pPr>
      <w:r>
        <w:t xml:space="preserve">4. The section, verbatim</w:t>
      </w:r>
    </w:p>
    <w:p>
      <w:pPr>
        <w:pStyle w:val="FirstParagraph"/>
      </w:pPr>
      <w:r>
        <w:t xml:space="preserve">Paste this back as</w:t>
      </w:r>
      <w:r>
        <w:t xml:space="preserve"> </w:t>
      </w:r>
      <w:r>
        <w:rPr>
          <w:rStyle w:val="VerbatimChar"/>
        </w:rPr>
        <w:t xml:space="preserve">## Limitations</w:t>
      </w:r>
      <w:r>
        <w:t xml:space="preserve">, between</w:t>
      </w:r>
      <w:r>
        <w:t xml:space="preserve"> </w:t>
      </w:r>
      <w:r>
        <w:rPr>
          <w:i/>
          <w:iCs/>
        </w:rPr>
        <w:t xml:space="preserve">Comparison with prior work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Implications for validation and clinical use</w:t>
      </w:r>
      <w:r>
        <w:t xml:space="preserve">.</w:t>
      </w:r>
    </w:p>
    <w:bookmarkStart w:id="23" w:name="limitations-as-it-stood"/>
    <w:p>
      <w:pPr>
        <w:pStyle w:val="Heading3"/>
      </w:pPr>
      <w:r>
        <w:t xml:space="preserve">Limitations (as it stood)</w:t>
      </w:r>
    </w:p>
    <w:p>
      <w:pPr>
        <w:pStyle w:val="FirstParagraph"/>
      </w:pPr>
      <w:r>
        <w:rPr>
          <w:b/>
          <w:bCs/>
        </w:rPr>
        <w:t xml:space="preserve">Representativeness.</w:t>
      </w:r>
      <w:r>
        <w:t xml:space="preserve"> </w:t>
      </w:r>
      <w:r>
        <w:t xml:space="preserve">This is a single-centre study drawn from one</w:t>
      </w:r>
      <w:r>
        <w:t xml:space="preserve"> </w:t>
      </w:r>
      <w:r>
        <w:t xml:space="preserve">community health system in a single metropolitan area, and the cohort</w:t>
      </w:r>
      <w:r>
        <w:t xml:space="preserve"> </w:t>
      </w:r>
      <w:r>
        <w:t xml:space="preserve">skews middle-aged and older (mean age 54.4; 34.7% aged ≥65),</w:t>
      </w:r>
      <w:r>
        <w:t xml:space="preserve"> </w:t>
      </w:r>
      <w:r>
        <w:t xml:space="preserve">predominantly female (72.5%), overwhelmingly White (80.0%) and</w:t>
      </w:r>
      <w:r>
        <w:t xml:space="preserve"> </w:t>
      </w:r>
      <w:r>
        <w:t xml:space="preserve">English-preferring (98.9%). Both the single-centre design and that</w:t>
      </w:r>
      <w:r>
        <w:t xml:space="preserve"> </w:t>
      </w:r>
      <w:r>
        <w:t xml:space="preserve">demographic profile limit transfer to more diverse or non-English-</w:t>
      </w:r>
      <w:r>
        <w:t xml:space="preserve"> </w:t>
      </w:r>
      <w:r>
        <w:t xml:space="preserve">preferring populations and to health systems whose case mix or</w:t>
      </w:r>
      <w:r>
        <w:t xml:space="preserve"> </w:t>
      </w:r>
      <w:r>
        <w:t xml:space="preserve">prescribing culture differs. Because the index prescription can be</w:t>
      </w:r>
      <w:r>
        <w:t xml:space="preserve"> </w:t>
      </w:r>
      <w:r>
        <w:t xml:space="preserve">written anywhere in the system rather than in specialty psychiatric</w:t>
      </w:r>
      <w:r>
        <w:t xml:space="preserve"> </w:t>
      </w:r>
      <w:r>
        <w:t xml:space="preserve">care, the cohort is also weighted toward routine rather than referred</w:t>
      </w:r>
      <w:r>
        <w:t xml:space="preserve"> </w:t>
      </w:r>
      <w:r>
        <w:t xml:space="preserve">management.</w:t>
      </w:r>
    </w:p>
    <w:p>
      <w:pPr>
        <w:pStyle w:val="BodyText"/>
      </w:pPr>
      <w:r>
        <w:rPr>
          <w:b/>
          <w:bCs/>
        </w:rPr>
        <w:t xml:space="preserve">Outcome definition.</w:t>
      </w:r>
      <w:r>
        <w:t xml:space="preserve"> </w:t>
      </w:r>
      <w:r>
        <w:t xml:space="preserve">The target is a treatment-switch proxy rather</w:t>
      </w:r>
      <w:r>
        <w:t xml:space="preserve"> </w:t>
      </w:r>
      <w:r>
        <w:t xml:space="preserve">than a measured treatment response. It will over-count patients who</w:t>
      </w:r>
      <w:r>
        <w:t xml:space="preserve"> </w:t>
      </w:r>
      <w:r>
        <w:t xml:space="preserve">cycled through agents for reasons unrelated to efficacy and under-count</w:t>
      </w:r>
      <w:r>
        <w:t xml:space="preserve"> </w:t>
      </w:r>
      <w:r>
        <w:t xml:space="preserve">patients who remained on a single inadequate agent without ever</w:t>
      </w:r>
      <w:r>
        <w:t xml:space="preserve"> </w:t>
      </w:r>
      <w:r>
        <w:t xml:space="preserve">switching — the latter arguably the more clinically concerning group,</w:t>
      </w:r>
      <w:r>
        <w:t xml:space="preserve"> </w:t>
      </w:r>
      <w:r>
        <w:t xml:space="preserve">and one this study cannot see at all. Because the same proxy defines the</w:t>
      </w:r>
      <w:r>
        <w:t xml:space="preserve"> </w:t>
      </w:r>
      <w:r>
        <w:t xml:space="preserve">outcome in both study arms it does not bias the head-to-head comparison,</w:t>
      </w:r>
      <w:r>
        <w:t xml:space="preserve"> </w:t>
      </w:r>
      <w:r>
        <w:t xml:space="preserve">but it bounds what the absolute discrimination means. Two things would</w:t>
      </w:r>
      <w:r>
        <w:t xml:space="preserve"> </w:t>
      </w:r>
      <w:r>
        <w:t xml:space="preserve">sharpen it and neither is done here: validation of the label against</w:t>
      </w:r>
      <w:r>
        <w:t xml:space="preserve"> </w:t>
      </w:r>
      <w:r>
        <w:t xml:space="preserve">chart-reviewed or symptom-scale-confirmed non-response, and a</w:t>
      </w:r>
      <w:r>
        <w:t xml:space="preserve"> </w:t>
      </w:r>
      <w:r>
        <w:t xml:space="preserve">higher-specificity label requiring documented post-index adequate</w:t>
      </w:r>
      <w:r>
        <w:t xml:space="preserve"> </w:t>
      </w:r>
      <w:r>
        <w:t xml:space="preserve">courses and clinically plausible intervals between switches.</w:t>
      </w:r>
    </w:p>
    <w:p>
      <w:pPr>
        <w:pStyle w:val="BodyText"/>
      </w:pPr>
      <w:r>
        <w:rPr>
          <w:b/>
          <w:bCs/>
        </w:rPr>
        <w:t xml:space="preserve">Missing data.</w:t>
      </w:r>
      <w:r>
        <w:t xml:space="preserve"> </w:t>
      </w:r>
      <w:r>
        <w:t xml:space="preserve">The three vital-sign columns were dropped rather than</w:t>
      </w:r>
      <w:r>
        <w:t xml:space="preserve"> </w:t>
      </w:r>
      <w:r>
        <w:t xml:space="preserve">imputed because their recording is associated with the outcome being</w:t>
      </w:r>
      <w:r>
        <w:t xml:space="preserve"> </w:t>
      </w:r>
      <w:r>
        <w:t xml:space="preserve">predicted. That association rules out missingness completely at random</w:t>
      </w:r>
      <w:r>
        <w:t xml:space="preserve"> </w:t>
      </w:r>
      <w:r>
        <w:t xml:space="preserve">but does not identify the mechanism, so dropping the columns is a</w:t>
      </w:r>
      <w:r>
        <w:t xml:space="preserve"> </w:t>
      </w:r>
      <w:r>
        <w:t xml:space="preserve">conservative handling rather than a mechanism-justified one, and it</w:t>
      </w:r>
      <w:r>
        <w:t xml:space="preserve"> </w:t>
      </w:r>
      <w:r>
        <w:t xml:space="preserve">costs three genuinely clinical predictors. It is also arguably the wrong</w:t>
      </w:r>
      <w:r>
        <w:t xml:space="preserve"> </w:t>
      </w:r>
      <w:r>
        <w:t xml:space="preserve">handling for a prediction problem, where an informative pattern of</w:t>
      </w:r>
      <w:r>
        <w:t xml:space="preserve"> </w:t>
      </w:r>
      <w:r>
        <w:t xml:space="preserve">missingness is usable signal; the missingness in fields such as religion</w:t>
      </w:r>
      <w:r>
        <w:t xml:space="preserve"> </w:t>
      </w:r>
      <w:r>
        <w:t xml:space="preserve">and race/ethnicity is likewise associated with TRD.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This is internal validation by a single random split of</w:t>
      </w:r>
      <w:r>
        <w:t xml:space="preserve"> </w:t>
      </w:r>
      <w:r>
        <w:t xml:space="preserve">one health system’s records spanning 2016–2024. There is no temporal</w:t>
      </w:r>
      <w:r>
        <w:t xml:space="preserve"> </w:t>
      </w:r>
      <w:r>
        <w:t xml:space="preserve">split and no external cohort, so nothing here speaks to transportability</w:t>
      </w:r>
      <w:r>
        <w:t xml:space="preserve"> </w:t>
      </w:r>
      <w:r>
        <w:t xml:space="preserve">across time or site, and the study cannot detect the coding,</w:t>
      </w:r>
      <w:r>
        <w:t xml:space="preserve"> </w:t>
      </w:r>
      <w:r>
        <w:t xml:space="preserve">documentation, and prescribing drift that accumulates over a nine-year</w:t>
      </w:r>
      <w:r>
        <w:t xml:space="preserve"> </w:t>
      </w:r>
      <w:r>
        <w:t xml:space="preserve">window — a random split distributes any such drift evenly across both</w:t>
      </w:r>
      <w:r>
        <w:t xml:space="preserve"> </w:t>
      </w:r>
      <w:r>
        <w:t xml:space="preserve">sides and hides it. Reported discrimination should be read as an upper</w:t>
      </w:r>
      <w:r>
        <w:t xml:space="preserve"> </w:t>
      </w:r>
      <w:r>
        <w:t xml:space="preserve">bound on what the same models would achieve on later data or in another</w:t>
      </w:r>
      <w:r>
        <w:t xml:space="preserve"> </w:t>
      </w:r>
      <w:r>
        <w:t xml:space="preserve">system. The embedded representation also runs below the conventional</w:t>
      </w:r>
      <w:r>
        <w:t xml:space="preserve"> </w:t>
      </w:r>
      <w:r>
        <w:t xml:space="preserve">events-per-variable threshold by construction on three of the four</w:t>
      </w:r>
      <w:r>
        <w:t xml:space="preserve"> </w:t>
      </w:r>
      <w:r>
        <w:t xml:space="preserve">encoders (EPV ≈ 1.5–2.3); the feature-vector model comfortably exceeds</w:t>
      </w:r>
      <w:r>
        <w:t xml:space="preserve"> </w:t>
      </w:r>
      <w:r>
        <w:t xml:space="preserve">it at ≈65.</w:t>
      </w:r>
    </w:p>
    <w:p>
      <w:pPr>
        <w:pStyle w:val="BodyText"/>
      </w:pPr>
      <w:r>
        <w:rPr>
          <w:b/>
          <w:bCs/>
        </w:rPr>
        <w:t xml:space="preserve">Ablation scope.</w:t>
      </w:r>
      <w:r>
        <w:t xml:space="preserve"> </w:t>
      </w:r>
      <w:r>
        <w:t xml:space="preserve">The ablation isolates one named concept at a time</w:t>
      </w:r>
      <w:r>
        <w:t xml:space="preserve"> </w:t>
      </w:r>
      <w:r>
        <w:t xml:space="preserve">and cannot disentangle co-correlated clinical features without joint</w:t>
      </w:r>
      <w:r>
        <w:t xml:space="preserve"> </w:t>
      </w:r>
      <w:r>
        <w:t xml:space="preserve">perturbation.</w:t>
      </w:r>
    </w:p>
    <w:p>
      <w:pPr>
        <w:pStyle w:val="BodyText"/>
      </w:pPr>
      <w:r>
        <w:rPr>
          <w:b/>
          <w:bCs/>
        </w:rPr>
        <w:t xml:space="preserve">No representational advantage.</w:t>
      </w:r>
      <w:r>
        <w:t xml:space="preserve"> </w:t>
      </w:r>
      <w:r>
        <w:t xml:space="preserve">The embedding held no significant</w:t>
      </w:r>
      <w:r>
        <w:t xml:space="preserve"> </w:t>
      </w:r>
      <w:r>
        <w:t xml:space="preserve">advantage over the transparent feature vector on Qwen3-Embedding-8B.</w:t>
      </w:r>
      <w:r>
        <w:t xml:space="preserve"> </w:t>
      </w:r>
      <w:r>
        <w:t xml:space="preserve">Its appeal is therefore parity without an explicit feature vector, plus</w:t>
      </w:r>
      <w:r>
        <w:t xml:space="preserve"> </w:t>
      </w:r>
      <w:r>
        <w:t xml:space="preserve">stability across encoders — but this is not a free lunch: the embedding</w:t>
      </w:r>
      <w:r>
        <w:t xml:space="preserve"> </w:t>
      </w:r>
      <w:r>
        <w:t xml:space="preserve">still depends on the hand-built deterministic narrative, which required</w:t>
      </w:r>
      <w:r>
        <w:t xml:space="preserve"> </w:t>
      </w:r>
      <w:r>
        <w:t xml:space="preserve">the same parsing and structuring of the raw record. The engineering</w:t>
      </w:r>
      <w:r>
        <w:t xml:space="preserve"> </w:t>
      </w:r>
      <w:r>
        <w:t xml:space="preserve">effort is relocated from designing a feature vector to designing a</w:t>
      </w:r>
      <w:r>
        <w:t xml:space="preserve"> </w:t>
      </w:r>
      <w:r>
        <w:t xml:space="preserve">narrative template, not eliminated. Because no equivalence or</w:t>
      </w:r>
      <w:r>
        <w:t xml:space="preserve"> </w:t>
      </w:r>
      <w:r>
        <w:t xml:space="preserve">noninferiority margin was prespecified, the correct statement is that</w:t>
      </w:r>
      <w:r>
        <w:t xml:space="preserve"> </w:t>
      </w:r>
      <w:r>
        <w:t xml:space="preserve">this study found no evidence of superior internal discrimination for the</w:t>
      </w:r>
      <w:r>
        <w:t xml:space="preserve"> </w:t>
      </w:r>
      <w:r>
        <w:t xml:space="preserve">embedding, bounded at roughly 0.02 AUC by the interval’s own width, and</w:t>
      </w:r>
      <w:r>
        <w:t xml:space="preserve"> </w:t>
      </w:r>
      <w:r>
        <w:t xml:space="preserve">not that the two representations are equivalent.</w:t>
      </w:r>
    </w:p>
    <w:p>
      <w:pPr>
        <w:pStyle w:val="BodyText"/>
      </w:pPr>
      <w:r>
        <w:rPr>
          <w:b/>
          <w:bCs/>
        </w:rPr>
        <w:t xml:space="preserve">Fairness.</w:t>
      </w:r>
      <w:r>
        <w:t xml:space="preserve"> </w:t>
      </w:r>
      <w:r>
        <w:t xml:space="preserve">This study reports no fairness evidence. The ablation</w:t>
      </w:r>
      <w:r>
        <w:t xml:space="preserve"> </w:t>
      </w:r>
      <w:r>
        <w:t xml:space="preserve">establishes only that neither model’s predictions rely on the</w:t>
      </w:r>
      <w:r>
        <w:t xml:space="preserve"> </w:t>
      </w:r>
      <w:r>
        <w:t xml:space="preserve">race/ethnicity and social-determinant fields supplied directly to it,</w:t>
      </w:r>
      <w:r>
        <w:t xml:space="preserve"> </w:t>
      </w:r>
      <w:r>
        <w:t xml:space="preserve">and it leaves three questions open: sociodemographic information may</w:t>
      </w:r>
      <w:r>
        <w:t xml:space="preserve"> </w:t>
      </w:r>
      <w:r>
        <w:t xml:space="preserve">still reach the models indirectly through correlated psychiatric,</w:t>
      </w:r>
      <w:r>
        <w:t xml:space="preserve"> </w:t>
      </w:r>
      <w:r>
        <w:t xml:space="preserve">medication, or utilization content; the outcome label is derived from</w:t>
      </w:r>
      <w:r>
        <w:t xml:space="preserve"> </w:t>
      </w:r>
      <w:r>
        <w:t xml:space="preserve">prescribing behaviour and so may itself be inequitably distributed,</w:t>
      </w:r>
      <w:r>
        <w:t xml:space="preserve"> </w:t>
      </w:r>
      <w:r>
        <w:t xml:space="preserve">given documented racial and ethnic disparities in the delivery of</w:t>
      </w:r>
      <w:r>
        <w:t xml:space="preserve"> </w:t>
      </w:r>
      <w:r>
        <w:t xml:space="preserve">depression treatment in the United States [18,19]; and age, sex,</w:t>
      </w:r>
      <w:r>
        <w:t xml:space="preserve"> </w:t>
      </w:r>
      <w:r>
        <w:t xml:space="preserve">preferred language, marital status, religion, and smoking status remain</w:t>
      </w:r>
      <w:r>
        <w:t xml:space="preserve"> </w:t>
      </w:r>
      <w:r>
        <w:t xml:space="preserve">in both representations and were never permuted. Subgroup discrimination</w:t>
      </w:r>
      <w:r>
        <w:t xml:space="preserve"> </w:t>
      </w:r>
      <w:r>
        <w:t xml:space="preserve">and calibration are reported (Results,</w:t>
      </w:r>
      <w:r>
        <w:t xml:space="preserve"> </w:t>
      </w:r>
      <w:r>
        <w:rPr>
          <w:i/>
          <w:iCs/>
        </w:rPr>
        <w:t xml:space="preserve">Subgroup performance</w:t>
      </w:r>
      <w:r>
        <w:t xml:space="preserve">;</w:t>
      </w:r>
      <w:r>
        <w:t xml:space="preserve"> </w:t>
      </w:r>
      <w:r>
        <w:t xml:space="preserve">Supplement S10) and do not return a uniform null: sex shows no</w:t>
      </w:r>
      <w:r>
        <w:t xml:space="preserve"> </w:t>
      </w:r>
      <w:r>
        <w:t xml:space="preserve">difference anywhere, whereas the White-minus-non-White contrasts are</w:t>
      </w:r>
      <w:r>
        <w:t xml:space="preserve"> </w:t>
      </w:r>
      <w:r>
        <w:t xml:space="preserve">directionally positive throughout without surviving correction, and</w:t>
      </w:r>
      <w:r>
        <w:t xml:space="preserve"> </w:t>
      </w:r>
      <w:r>
        <w:t xml:space="preserve">non-White calibration is materially worse in the feature-vector arm.</w:t>
      </w:r>
      <w:r>
        <w:t xml:space="preserve"> </w:t>
      </w:r>
      <w:r>
        <w:t xml:space="preserve">This cohort therefore neither establishes a race-associated performance</w:t>
      </w:r>
      <w:r>
        <w:t xml:space="preserve"> </w:t>
      </w:r>
      <w:r>
        <w:t xml:space="preserve">gap nor excludes one, and the reason is power rather than ambiguity. A</w:t>
      </w:r>
      <w:r>
        <w:t xml:space="preserve"> </w:t>
      </w:r>
      <w:r>
        <w:t xml:space="preserve">level-by-level race breakdown is not estimable here, so the groups that</w:t>
      </w:r>
      <w:r>
        <w:t xml:space="preserve"> </w:t>
      </w:r>
      <w:r>
        <w:t xml:space="preserve">matter most are the ones this cohort cannot resolve; a full fairness</w:t>
      </w:r>
      <w:r>
        <w:t xml:space="preserve"> </w:t>
      </w:r>
      <w:r>
        <w:t xml:space="preserve">assessment needs a cohort whose minority strata are large enough to</w:t>
      </w:r>
      <w:r>
        <w:t xml:space="preserve"> </w:t>
      </w:r>
      <w:r>
        <w:t xml:space="preserve">estimate.</w:t>
      </w:r>
    </w:p>
    <w:p>
      <w:pPr>
        <w:pStyle w:val="BodyText"/>
      </w:pPr>
      <w:r>
        <w:rPr>
          <w:b/>
          <w:bCs/>
        </w:rPr>
        <w:t xml:space="preserve">Operating point and calibration.</w:t>
      </w:r>
      <w:r>
        <w:t xml:space="preserve"> </w:t>
      </w:r>
      <w:r>
        <w:t xml:space="preserve">The Youden-J threshold was selected</w:t>
      </w:r>
      <w:r>
        <w:t xml:space="preserve"> </w:t>
      </w:r>
      <w:r>
        <w:t xml:space="preserve">on the same held-out patients the models were then scored on, so the</w:t>
      </w:r>
      <w:r>
        <w:t xml:space="preserve"> </w:t>
      </w:r>
      <w:r>
        <w:t xml:space="preserve">reported sensitivity and specificity are optimistic and are not</w:t>
      </w:r>
      <w:r>
        <w:t xml:space="preserve"> </w:t>
      </w:r>
      <w:r>
        <w:t xml:space="preserve">candidate operating characteristics. Calibration is likewise measured</w:t>
      </w:r>
      <w:r>
        <w:t xml:space="preserve"> </w:t>
      </w:r>
      <w:r>
        <w:t xml:space="preserve">inside a case-enriched sample whose 17.5% TRD rate is a design property</w:t>
      </w:r>
      <w:r>
        <w:t xml:space="preserve"> </w:t>
      </w:r>
      <w:r>
        <w:t xml:space="preserve">rather than a population prevalence, so calibration in the large is</w:t>
      </w:r>
      <w:r>
        <w:t xml:space="preserve"> </w:t>
      </w:r>
      <w:r>
        <w:t xml:space="preserve">calibration to this cohort and does not transfer.</w:t>
      </w:r>
    </w:p>
    <w:p>
      <w:pPr>
        <w:pStyle w:val="BodyText"/>
      </w:pPr>
      <w:r>
        <w:rPr>
          <w:b/>
          <w:bCs/>
        </w:rPr>
        <w:t xml:space="preserve">Representation parity.</w:t>
      </w:r>
      <w:r>
        <w:t xml:space="preserve"> </w:t>
      </w:r>
      <w:r>
        <w:t xml:space="preserve">The two representations are built from the</w:t>
      </w:r>
      <w:r>
        <w:t xml:space="preserve"> </w:t>
      </w:r>
      <w:r>
        <w:t xml:space="preserve">same timeline-sliced record but do not receive an identical field</w:t>
      </w:r>
      <w:r>
        <w:t xml:space="preserve"> </w:t>
      </w:r>
      <w:r>
        <w:t xml:space="preserve">inventory, so the head-to-head comparison is a comparison of encodings</w:t>
      </w:r>
      <w:r>
        <w:t xml:space="preserve"> </w:t>
      </w:r>
      <w:r>
        <w:t xml:space="preserve">and of the fields each encoding happens to carry. The field-level</w:t>
      </w:r>
      <w:r>
        <w:t xml:space="preserve"> </w:t>
      </w:r>
      <w:r>
        <w:t xml:space="preserve">crosswalk is Supplement S11: eleven fields are asymmetric and ten of</w:t>
      </w:r>
      <w:r>
        <w:t xml:space="preserve"> </w:t>
      </w:r>
      <w:r>
        <w:t xml:space="preserve">them favour the narrative — the index date and a recorded</w:t>
      </w:r>
      <w:r>
        <w:t xml:space="preserve"> </w:t>
      </w:r>
      <w:r>
        <w:t xml:space="preserve">sexual-orientation field, which the feature matrix has no column for;</w:t>
      </w:r>
      <w:r>
        <w:t xml:space="preserve"> </w:t>
      </w:r>
      <w:r>
        <w:t xml:space="preserve">the three within-patient mean vital signs, dropped from the matrix but</w:t>
      </w:r>
      <w:r>
        <w:t xml:space="preserve"> </w:t>
      </w:r>
      <w:r>
        <w:t xml:space="preserve">still rendered; four sociodemographic fields where the matrix collapses</w:t>
      </w:r>
      <w:r>
        <w:t xml:space="preserve"> </w:t>
      </w:r>
      <w:r>
        <w:t xml:space="preserve">raw values into coarse categories and the narrative prints the raw</w:t>
      </w:r>
      <w:r>
        <w:t xml:space="preserve"> </w:t>
      </w:r>
      <w:r>
        <w:t xml:space="preserve">value; and three medication blocks where the matrix carries a count and</w:t>
      </w:r>
      <w:r>
        <w:t xml:space="preserve"> </w:t>
      </w:r>
      <w:r>
        <w:t xml:space="preserve">the narrative names the ingredients. One field favours the feature</w:t>
      </w:r>
      <w:r>
        <w:t xml:space="preserve"> </w:t>
      </w:r>
      <w:r>
        <w:t xml:space="preserve">matrix: pre-index history length, which the narrative does not render.</w:t>
      </w:r>
      <w:r>
        <w:t xml:space="preserve"> </w:t>
      </w:r>
      <w:r>
        <w:t xml:space="preserve">Because the deltas involved (≈0.008 AUC on the head-to-head contrast)</w:t>
      </w:r>
      <w:r>
        <w:t xml:space="preserve"> </w:t>
      </w:r>
      <w:r>
        <w:t xml:space="preserve">are the size of the effect under test, this bounds the parity claim</w:t>
      </w:r>
      <w:r>
        <w:t xml:space="preserve"> </w:t>
      </w:r>
      <w:r>
        <w:t xml:space="preserve">rather than merely qualifying it, and the direction is predictable:</w:t>
      </w:r>
      <w:r>
        <w:t xml:space="preserve"> </w:t>
      </w:r>
      <w:r>
        <w:t xml:space="preserve">closing the gap should raise the feature arm relative to the embedded</w:t>
      </w:r>
      <w:r>
        <w:t xml:space="preserve"> </w:t>
      </w:r>
      <w:r>
        <w:t xml:space="preserve">one. A re-run of the primary comparison with the two largest asymmetries</w:t>
      </w:r>
      <w:r>
        <w:t xml:space="preserve"> </w:t>
      </w:r>
      <w:r>
        <w:t xml:space="preserve">closed leaves the best-versus-best contrast a null; that analysis is</w:t>
      </w:r>
      <w:r>
        <w:t xml:space="preserve"> </w:t>
      </w:r>
      <w:r>
        <w:t xml:space="preserve">available from the corresponding author.</w:t>
      </w:r>
    </w:p>
    <w:bookmarkEnd w:id="23"/>
    <w:bookmarkEnd w:id="24"/>
    <w:bookmarkStart w:id="25" w:name="the-cross-references-that-were-repointed"/>
    <w:p>
      <w:pPr>
        <w:pStyle w:val="Heading2"/>
      </w:pPr>
      <w:r>
        <w:t xml:space="preserve">5. The cross-references that were repointed</w:t>
      </w:r>
    </w:p>
    <w:p>
      <w:pPr>
        <w:pStyle w:val="FirstParagraph"/>
      </w:pPr>
      <w:r>
        <w:t xml:space="preserve">Restoring the section means restoring these, which were sent to other homes when</w:t>
      </w:r>
      <w:r>
        <w:t xml:space="preserve"> </w:t>
      </w:r>
      <w:r>
        <w:t xml:space="preserve">it came out. Each is listed as it now reads.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Now points at</w:t>
            </w:r>
          </w:p>
        </w:tc>
        <w:tc>
          <w:tcPr/>
          <w:p>
            <w:pPr>
              <w:pStyle w:val="Compact"/>
            </w:pPr>
            <w:r>
              <w:t xml:space="preserve">Pointed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../manuscript.md</w:t>
            </w:r>
            <w:r>
              <w:t xml:space="preserve">, Discussion</w:t>
            </w:r>
            <w:r>
              <w:t xml:space="preserve"> </w:t>
            </w:r>
            <w:r>
              <w:rPr>
                <w:i/>
                <w:iCs/>
              </w:rPr>
              <w:t xml:space="preserve">Principal findings</w:t>
            </w:r>
          </w:p>
        </w:tc>
        <w:tc>
          <w:tcPr/>
          <w:p>
            <w:pPr>
              <w:pStyle w:val="Compact"/>
            </w:pPr>
            <w:r>
              <w:t xml:space="preserve">Results,</w:t>
            </w:r>
            <w:r>
              <w:t xml:space="preserve"> </w:t>
            </w:r>
            <w:r>
              <w:rPr>
                <w:i/>
                <w:iCs/>
              </w:rPr>
              <w:t xml:space="preserve">Subgroup performance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Missing data and sample partition</w:t>
            </w:r>
          </w:p>
        </w:tc>
        <w:tc>
          <w:tcPr/>
          <w:p>
            <w:pPr>
              <w:pStyle w:val="Compact"/>
            </w:pPr>
            <w:r>
              <w:t xml:space="preserve">main text,</w:t>
            </w:r>
            <w:r>
              <w:t xml:space="preserve"> </w:t>
            </w:r>
            <w:r>
              <w:rPr>
                <w:i/>
                <w:iCs/>
              </w:rP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Discussion,</w:t>
            </w:r>
            <w:r>
              <w:t xml:space="preserve"> </w:t>
            </w:r>
            <w:r>
              <w:rPr>
                <w:i/>
                <w:iCs/>
              </w:rPr>
              <w:t xml:space="preserve">Implications for validation and clinical use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Predictors and patient representations</w:t>
            </w:r>
            <w:r>
              <w:t xml:space="preserve">; Supplement S11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Limitations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Representation parity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Discussion,</w:t>
            </w:r>
            <w:r>
              <w:t xml:space="preserve"> </w:t>
            </w:r>
            <w:r>
              <w:rPr>
                <w:i/>
                <w:iCs/>
              </w:rPr>
              <w:t xml:space="preserve">Principal findings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Limitations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Fairness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../supplement.md</w:t>
            </w:r>
            <w:r>
              <w:t xml:space="preserve"> </w:t>
            </w: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Predictors and patient representations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Limitations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Representation parity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../tripod_ai_checklist.md</w:t>
            </w:r>
            <w:r>
              <w:t xml:space="preserve"> </w:t>
            </w:r>
            <w:r>
              <w:t xml:space="preserve">items 3b, 3c, 5a, 11, 14, 15, 26, 27c</w:t>
            </w:r>
          </w:p>
        </w:tc>
        <w:tc>
          <w:tcPr/>
          <w:p>
            <w:pPr>
              <w:pStyle w:val="Compact"/>
            </w:pPr>
            <w:r>
              <w:t xml:space="preserve">the sections named in each row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Limitations</w:t>
            </w:r>
            <w:r>
              <w:t xml:space="preserve"> </w:t>
            </w:r>
            <w:r>
              <w:t xml:space="preserve">and its named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matched_input_parity.md</w:t>
            </w:r>
          </w:p>
        </w:tc>
        <w:tc>
          <w:tcPr/>
          <w:p>
            <w:pPr>
              <w:pStyle w:val="Compact"/>
            </w:pPr>
            <w:r>
              <w:t xml:space="preserve">Methods,</w:t>
            </w:r>
            <w:r>
              <w:t xml:space="preserve"> </w:t>
            </w:r>
            <w:r>
              <w:rPr>
                <w:i/>
                <w:iCs/>
              </w:rPr>
              <w:t xml:space="preserve">Predictors and patient representations</w:t>
            </w:r>
          </w:p>
        </w:tc>
        <w:tc>
          <w:tcPr/>
          <w:p>
            <w:pPr>
              <w:pStyle w:val="Compact"/>
            </w:pPr>
            <w:r>
              <w:t xml:space="preserve">Limitations,</w:t>
            </w:r>
            <w:r>
              <w:t xml:space="preserve"> </w:t>
            </w:r>
            <w:r>
              <w:rPr>
                <w:b/>
                <w:bCs/>
              </w:rPr>
              <w:t xml:space="preserve">Representation parity</w:t>
            </w:r>
          </w:p>
        </w:tc>
      </w:tr>
    </w:tbl>
    <w:bookmarkEnd w:id="25"/>
    <w:bookmarkEnd w:id="2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2026-10-10T14:41:30Z</dcterms:created>
  <dcterms:modified xsi:type="dcterms:W3CDTF">2026-10-10T14:41:30Z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