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ethods-reserve"/>
    <w:p>
      <w:pPr>
        <w:pStyle w:val="Heading1"/>
      </w:pPr>
      <w:r>
        <w:t xml:space="preserve">Methods reserve</w:t>
      </w:r>
    </w:p>
    <w:p>
      <w:pPr>
        <w:pStyle w:val="FirstParagraph"/>
      </w:pPr>
      <w:r>
        <w:rPr>
          <w:b/>
          <w:bCs/>
        </w:rPr>
        <w:t xml:space="preserve">Material removed from the main-text Methods in the 2026-09-02 condensation.</w:t>
      </w:r>
      <w:r>
        <w:rPr>
          <w:b/>
          <w:bCs/>
        </w:rPr>
        <w:t xml:space="preserve"> </w:t>
      </w:r>
      <w:r>
        <w:rPr>
          <w:b/>
          <w:bCs/>
        </w:rPr>
        <w:t xml:space="preserve">Held for reference. Not submitted.</w:t>
      </w:r>
    </w:p>
    <w:p>
      <w:pPr>
        <w:pStyle w:val="BodyText"/>
      </w:pPr>
      <w:r>
        <w:rPr>
          <w:b/>
          <w:bCs/>
        </w:rPr>
        <w:t xml:space="preserve">In one line.</w:t>
      </w:r>
      <w:r>
        <w:t xml:space="preserve"> </w:t>
      </w:r>
      <w:r>
        <w:t xml:space="preserve">Methods went from 2,637 words to 1,851 (1,749 of prose plus the</w:t>
      </w:r>
      <w:r>
        <w:t xml:space="preserve"> </w:t>
      </w:r>
      <w:r>
        <w:t xml:space="preserve">104-word Figure 1 caption); of the ~790 words removed, all but the eight</w:t>
      </w:r>
      <w:r>
        <w:t xml:space="preserve"> </w:t>
      </w:r>
      <w:r>
        <w:t xml:space="preserve">passages below are still submitted inside Supplement M1-M13.</w:t>
      </w:r>
    </w:p>
    <w:bookmarkStart w:id="20" w:name="Xb5c261250c63c9659ef71152b8a4465fcd790c1"/>
    <w:p>
      <w:pPr>
        <w:pStyle w:val="Heading2"/>
      </w:pPr>
      <w:r>
        <w:t xml:space="preserve">1. What was actually lost, and what merely moved</w:t>
      </w:r>
    </w:p>
    <w:p>
      <w:pPr>
        <w:pStyle w:val="FirstParagraph"/>
      </w:pPr>
      <w:r>
        <w:t xml:space="preserve">The condensation had three different effects, and only the third is a loss.</w:t>
      </w:r>
    </w:p>
    <w:p>
      <w:pPr>
        <w:pStyle w:val="BodyText"/>
      </w:pPr>
      <w:r>
        <w:rPr>
          <w:b/>
          <w:bCs/>
        </w:rPr>
        <w:t xml:space="preserve">Moved and still submitted.</w:t>
      </w:r>
      <w:r>
        <w:t xml:space="preserve"> </w:t>
      </w:r>
      <w:r>
        <w:t xml:space="preserve">The bulk of it. Source tables, extract-level</w:t>
      </w:r>
      <w:r>
        <w:t xml:space="preserve"> </w:t>
      </w:r>
      <w:r>
        <w:t xml:space="preserve">filters and ICD code lists; the eligibility cascade; the outcome’s inferential</w:t>
      </w:r>
      <w:r>
        <w:t xml:space="preserve"> </w:t>
      </w:r>
      <w:r>
        <w:t xml:space="preserve">boundary; predictor-selection rationale; missingness frequencies and the</w:t>
      </w:r>
      <w:r>
        <w:t xml:space="preserve"> </w:t>
      </w:r>
      <w:r>
        <w:t xml:space="preserve">religion age-gradient; the events-per-variable derivation; leakage safeguards;</w:t>
      </w:r>
      <w:r>
        <w:t xml:space="preserve"> </w:t>
      </w:r>
      <w:r>
        <w:t xml:space="preserve">the retrieval equations, rubric and grid; the six ablation concept definitions;</w:t>
      </w:r>
      <w:r>
        <w:t xml:space="preserve"> </w:t>
      </w:r>
      <w:r>
        <w:t xml:space="preserve">evaluation coverage; and the bootstrap machinery. All of it is Supplement</w:t>
      </w:r>
      <w:r>
        <w:t xml:space="preserve"> </w:t>
      </w:r>
      <w:r>
        <w:t xml:space="preserve">M1-M13, which is part of the submission. A reader who wants the detail has it.</w:t>
      </w:r>
    </w:p>
    <w:p>
      <w:pPr>
        <w:pStyle w:val="BodyText"/>
      </w:pPr>
      <w:r>
        <w:rPr>
          <w:b/>
          <w:bCs/>
        </w:rPr>
        <w:t xml:space="preserve">Compressed but preserved.</w:t>
      </w:r>
      <w:r>
        <w:t xml:space="preserve"> </w:t>
      </w:r>
      <w:r>
        <w:t xml:space="preserve">A claim that used to take a paragraph and now</w:t>
      </w:r>
      <w:r>
        <w:t xml:space="preserve"> </w:t>
      </w:r>
      <w:r>
        <w:t xml:space="preserve">takes a clause. These are not recorded here — the claim survives, and the</w:t>
      </w:r>
      <w:r>
        <w:t xml:space="preserve"> </w:t>
      </w:r>
      <w:r>
        <w:t xml:space="preserve">supplement carries the argument.</w:t>
      </w:r>
    </w:p>
    <w:p>
      <w:pPr>
        <w:pStyle w:val="BodyText"/>
      </w:pPr>
      <w:r>
        <w:rPr>
          <w:b/>
          <w:bCs/>
        </w:rPr>
        <w:t xml:space="preserve">Dropped from the packet entirely.</w:t>
      </w:r>
      <w:r>
        <w:t xml:space="preserve"> </w:t>
      </w:r>
      <w:r>
        <w:t xml:space="preserve">Eight passages, below. None of them</w:t>
      </w:r>
      <w:r>
        <w:t xml:space="preserve"> </w:t>
      </w:r>
      <w:r>
        <w:t xml:space="preserve">carries a number, and none is load-bearing for a reported result; each is an</w:t>
      </w:r>
      <w:r>
        <w:t xml:space="preserve"> </w:t>
      </w:r>
      <w:r>
        <w:t xml:space="preserve">argument, a piece of provenance, or a pre-emption of an objection. That is why</w:t>
      </w:r>
      <w:r>
        <w:t xml:space="preserve"> </w:t>
      </w:r>
      <w:r>
        <w:t xml:space="preserve">they were affordable to cut and why they are worth keeping to hand.</w:t>
      </w:r>
    </w:p>
    <w:bookmarkEnd w:id="20"/>
    <w:bookmarkStart w:id="29" w:name="the-eight-passages"/>
    <w:p>
      <w:pPr>
        <w:pStyle w:val="Heading2"/>
      </w:pPr>
      <w:r>
        <w:t xml:space="preserve">2. The eight passages</w:t>
      </w:r>
    </w:p>
    <w:bookmarkStart w:id="21" w:name="Xfe88919bb511eae29f4c1d4604a670ec672d76c"/>
    <w:p>
      <w:pPr>
        <w:pStyle w:val="Heading3"/>
      </w:pPr>
      <w:r>
        <w:t xml:space="preserve">2.1 Setting: why this is a general population, not a psychiatric one</w:t>
      </w:r>
    </w:p>
    <w:p>
      <w:pPr>
        <w:pStyle w:val="FirstParagraph"/>
      </w:pPr>
      <w:r>
        <w:rPr>
          <w:i/>
          <w:iCs/>
        </w:rPr>
        <w:t xml:space="preserve">Was in:</w:t>
      </w:r>
      <w:r>
        <w:t xml:space="preserve"> </w:t>
      </w:r>
      <w:r>
        <w:t xml:space="preserve">Methods,</w:t>
      </w:r>
      <w:r>
        <w:t xml:space="preserve"> </w:t>
      </w:r>
      <w:r>
        <w:rPr>
          <w:i/>
          <w:iCs/>
        </w:rPr>
        <w:t xml:space="preserve">Source of data and study design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Setting</w:t>
      </w:r>
      <w:r>
        <w:t xml:space="preserve">.</w:t>
      </w:r>
      <w:r>
        <w:t xml:space="preserve"> </w:t>
      </w:r>
      <w:r>
        <w:rPr>
          <w:i/>
          <w:iCs/>
        </w:rPr>
        <w:t xml:space="preserve">Now in:</w:t>
      </w:r>
      <w:r>
        <w:t xml:space="preserve"> </w:t>
      </w:r>
      <w:r>
        <w:t xml:space="preserve">Supplement M1, final paragraph, in shorter form.</w:t>
      </w:r>
      <w:r>
        <w:t xml:space="preserve"> </w:t>
      </w:r>
      <w:r>
        <w:rPr>
          <w:i/>
          <w:iCs/>
        </w:rPr>
        <w:t xml:space="preserve">A reviewer asks this when:</w:t>
      </w:r>
      <w:r>
        <w:t xml:space="preserve"> </w:t>
      </w:r>
      <w:r>
        <w:t xml:space="preserve">they want to know whether the cohort is a specialty</w:t>
      </w:r>
      <w:r>
        <w:t xml:space="preserve"> </w:t>
      </w:r>
      <w:r>
        <w:t xml:space="preserve">sample, which bears directly on the 17.5% outcome rate.</w:t>
      </w:r>
    </w:p>
    <w:p>
      <w:pPr>
        <w:pStyle w:val="BlockText"/>
      </w:pPr>
      <w:r>
        <w:t xml:space="preserve">The cohort is therefore a general health-system population rather than a</w:t>
      </w:r>
      <w:r>
        <w:t xml:space="preserve"> </w:t>
      </w:r>
      <w:r>
        <w:t xml:space="preserve">psychiatric specialty sample: patients enter it by receiving an antidepressant</w:t>
      </w:r>
      <w:r>
        <w:t xml:space="preserve"> </w:t>
      </w:r>
      <w:r>
        <w:t xml:space="preserve">somewhere in routine care, not by being referred to psychiatry, and the</w:t>
      </w:r>
      <w:r>
        <w:t xml:space="preserve"> </w:t>
      </w:r>
      <w:r>
        <w:t xml:space="preserve">antidepressant index prescription may be written in any of those settings. This</w:t>
      </w:r>
      <w:r>
        <w:t xml:space="preserve"> </w:t>
      </w:r>
      <w:r>
        <w:t xml:space="preserve">is a single-centre study in one metropolitan area, which bears directly on the</w:t>
      </w:r>
      <w:r>
        <w:t xml:space="preserve"> </w:t>
      </w:r>
      <w:r>
        <w:t xml:space="preserve">demographic composition reported below and on generalizability.</w:t>
      </w:r>
    </w:p>
    <w:bookmarkEnd w:id="21"/>
    <w:bookmarkStart w:id="22" w:name="Xf793e0bc82a3e8d1c61ccdeaa4669444dfb2712"/>
    <w:p>
      <w:pPr>
        <w:pStyle w:val="Heading3"/>
      </w:pPr>
      <w:r>
        <w:t xml:space="preserve">2.2 Why the problem list and the encounter diagnoses disagree</w:t>
      </w:r>
    </w:p>
    <w:p>
      <w:pPr>
        <w:pStyle w:val="FirstParagraph"/>
      </w:pPr>
      <w:r>
        <w:rPr>
          <w:i/>
          <w:iCs/>
        </w:rPr>
        <w:t xml:space="preserve">Was in:</w:t>
      </w:r>
      <w:r>
        <w:t xml:space="preserve"> </w:t>
      </w:r>
      <w:r>
        <w:t xml:space="preserve">Methods,</w:t>
      </w:r>
      <w:r>
        <w:t xml:space="preserve"> </w:t>
      </w:r>
      <w:r>
        <w:rPr>
          <w:i/>
          <w:iCs/>
        </w:rPr>
        <w:t xml:space="preserve">Source of data and study design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Study population</w:t>
      </w:r>
      <w:r>
        <w:t xml:space="preserve">.</w:t>
      </w:r>
      <w:r>
        <w:t xml:space="preserve"> </w:t>
      </w:r>
      <w:r>
        <w:rPr>
          <w:i/>
          <w:iCs/>
        </w:rPr>
        <w:t xml:space="preserve">Now in:</w:t>
      </w:r>
      <w:r>
        <w:t xml:space="preserve"> </w:t>
      </w:r>
      <w:r>
        <w:t xml:space="preserve">Supplement M1, in full.</w:t>
      </w:r>
      <w:r>
        <w:t xml:space="preserve"> </w:t>
      </w:r>
      <w:r>
        <w:rPr>
          <w:i/>
          <w:iCs/>
        </w:rPr>
        <w:t xml:space="preserve">A reviewer asks this when:</w:t>
      </w:r>
      <w:r>
        <w:t xml:space="preserve"> </w:t>
      </w:r>
      <w:r>
        <w:t xml:space="preserve">they cannot see how 29.4% of an analysis cohort</w:t>
      </w:r>
      <w:r>
        <w:t xml:space="preserve"> </w:t>
      </w:r>
      <w:r>
        <w:t xml:space="preserve">drawn from a depression-flagged extract came through the unflagged arm.</w:t>
      </w:r>
    </w:p>
    <w:p>
      <w:pPr>
        <w:pStyle w:val="BlockText"/>
      </w:pPr>
      <w:r>
        <w:t xml:space="preserve">The flag used to build the extract and the eligibility criteria applied below</w:t>
      </w:r>
      <w:r>
        <w:t xml:space="preserve"> </w:t>
      </w:r>
      <w:r>
        <w:t xml:space="preserve">read different parts of the record. The flag was computed from the patient’s</w:t>
      </w:r>
      <w:r>
        <w:t xml:space="preserve"> </w:t>
      </w:r>
      <w:r>
        <w:rPr>
          <w:i/>
          <w:iCs/>
        </w:rPr>
        <w:t xml:space="preserve">problem list</w:t>
      </w:r>
      <w:r>
        <w:t xml:space="preserve">, the curated summary of conditions carried on their chart.</w:t>
      </w:r>
      <w:r>
        <w:t xml:space="preserve"> </w:t>
      </w:r>
      <w:r>
        <w:t xml:space="preserve">Eligibility here is assessed from diagnosis codes recorded at individual</w:t>
      </w:r>
      <w:r>
        <w:t xml:space="preserve"> </w:t>
      </w:r>
      <w:r>
        <w:rPr>
          <w:i/>
          <w:iCs/>
        </w:rPr>
        <w:t xml:space="preserve">encounters</w:t>
      </w:r>
      <w:r>
        <w:t xml:space="preserve">. A depression code entered at a visit is a documented diagnosis</w:t>
      </w:r>
      <w:r>
        <w:t xml:space="preserve"> </w:t>
      </w:r>
      <w:r>
        <w:t xml:space="preserve">whether or not it was ever added to the problem list, and in routine care the</w:t>
      </w:r>
      <w:r>
        <w:t xml:space="preserve"> </w:t>
      </w:r>
      <w:r>
        <w:t xml:space="preserve">problem list is frequently not updated, so the two sets overlap without either</w:t>
      </w:r>
      <w:r>
        <w:t xml:space="preserve"> </w:t>
      </w:r>
      <w:r>
        <w:t xml:space="preserve">containing the other.</w:t>
      </w:r>
    </w:p>
    <w:bookmarkEnd w:id="22"/>
    <w:bookmarkStart w:id="23" w:name="X4757f7986848d9c19aa42a7e98b207942212346"/>
    <w:p>
      <w:pPr>
        <w:pStyle w:val="Heading3"/>
      </w:pPr>
      <w:r>
        <w:t xml:space="preserve">2.3 The index-selection algorithm, stated as an algorithm</w:t>
      </w:r>
    </w:p>
    <w:p>
      <w:pPr>
        <w:pStyle w:val="FirstParagraph"/>
      </w:pPr>
      <w:r>
        <w:rPr>
          <w:i/>
          <w:iCs/>
        </w:rPr>
        <w:t xml:space="preserve">Was in:</w:t>
      </w:r>
      <w:r>
        <w:t xml:space="preserve"> </w:t>
      </w:r>
      <w:r>
        <w:t xml:space="preserve">Methods,</w:t>
      </w:r>
      <w:r>
        <w:t xml:space="preserve"> </w:t>
      </w:r>
      <w:r>
        <w:rPr>
          <w:i/>
          <w:iCs/>
        </w:rPr>
        <w:t xml:space="preserve">Participants and eligibility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Anchor selection</w:t>
      </w:r>
      <w:r>
        <w:t xml:space="preserve">.</w:t>
      </w:r>
      <w:r>
        <w:t xml:space="preserve"> </w:t>
      </w:r>
      <w:r>
        <w:rPr>
          <w:i/>
          <w:iCs/>
        </w:rPr>
        <w:t xml:space="preserve">Now in:</w:t>
      </w:r>
      <w:r>
        <w:t xml:space="preserve"> </w:t>
      </w:r>
      <w:r>
        <w:t xml:space="preserve">Supplement M2, in full, including the 57.9% same-day figure.</w:t>
      </w:r>
      <w:r>
        <w:t xml:space="preserve"> </w:t>
      </w:r>
      <w:r>
        <w:rPr>
          <w:i/>
          <w:iCs/>
        </w:rPr>
        <w:t xml:space="preserve">A reviewer asks this when:</w:t>
      </w:r>
      <w:r>
        <w:t xml:space="preserve"> </w:t>
      </w:r>
      <w:r>
        <w:t xml:space="preserve">they suspect the index date reads post-index data —</w:t>
      </w:r>
      <w:r>
        <w:t xml:space="preserve"> </w:t>
      </w:r>
      <w:r>
        <w:t xml:space="preserve">which is exactly what the 2026-08-28 round asked, and the answer is no.</w:t>
      </w:r>
    </w:p>
    <w:p>
      <w:pPr>
        <w:pStyle w:val="BlockText"/>
      </w:pPr>
      <w:r>
        <w:t xml:space="preserve">The upstream data-preparation stage assembles, for every patient, the set of</w:t>
      </w:r>
      <w:r>
        <w:t xml:space="preserve"> </w:t>
      </w:r>
      <w:r>
        <w:t xml:space="preserve">antidepressant medication orders starting on or after that first</w:t>
      </w:r>
      <w:r>
        <w:t xml:space="preserve"> </w:t>
      </w:r>
      <w:r>
        <w:t xml:space="preserve">depression-diagnosis date; the index is the start date of the earliest such</w:t>
      </w:r>
      <w:r>
        <w:t xml:space="preserve"> </w:t>
      </w:r>
      <w:r>
        <w:t xml:space="preserve">order, one per patient. Every patient in the analysis cohort therefore has</w:t>
      </w:r>
      <w:r>
        <w:t xml:space="preserve"> </w:t>
      </w:r>
      <w:r>
        <w:t xml:space="preserve">exactly one index date, and 57.9% of the candidate orders in that upstream</w:t>
      </w:r>
      <w:r>
        <w:t xml:space="preserve"> </w:t>
      </w:r>
      <w:r>
        <w:t xml:space="preserve">table begin on the same day as the first recorded depression diagnosis.</w:t>
      </w:r>
    </w:p>
    <w:p>
      <w:pPr>
        <w:pStyle w:val="BlockText"/>
      </w:pPr>
      <w:r>
        <w:t xml:space="preserve">No property of the index is conditioned on data recorded after the index date.</w:t>
      </w:r>
      <w:r>
        <w:t xml:space="preserve"> </w:t>
      </w:r>
      <w:r>
        <w:t xml:space="preserve">In particular, adequacy of dose or duration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required of the index</w:t>
      </w:r>
      <w:r>
        <w:t xml:space="preserve"> </w:t>
      </w:r>
      <w:r>
        <w:t xml:space="preserve">exposure, so the index is fully observable at the moment the prescription is</w:t>
      </w:r>
      <w:r>
        <w:t xml:space="preserve"> </w:t>
      </w:r>
      <w:r>
        <w:t xml:space="preserve">written and the prediction point coincides with it. Post-index information</w:t>
      </w:r>
      <w:r>
        <w:t xml:space="preserve"> </w:t>
      </w:r>
      <w:r>
        <w:t xml:space="preserve">enters the study in exactly two places, both concerning eligibility and outcome</w:t>
      </w:r>
      <w:r>
        <w:t xml:space="preserve"> </w:t>
      </w:r>
      <w:r>
        <w:t xml:space="preserve">rather than prediction.</w:t>
      </w:r>
    </w:p>
    <w:bookmarkEnd w:id="23"/>
    <w:bookmarkStart w:id="24" w:name="X845e50e8eb27f90ca185fb3510e2880bd03d1c6"/>
    <w:p>
      <w:pPr>
        <w:pStyle w:val="Heading3"/>
      </w:pPr>
      <w:r>
        <w:t xml:space="preserve">2.4 The prior-exposure prevalences, in the main text</w:t>
      </w:r>
    </w:p>
    <w:p>
      <w:pPr>
        <w:pStyle w:val="FirstParagraph"/>
      </w:pPr>
      <w:r>
        <w:rPr>
          <w:i/>
          <w:iCs/>
        </w:rPr>
        <w:t xml:space="preserve">Was in:</w:t>
      </w:r>
      <w:r>
        <w:t xml:space="preserve"> </w:t>
      </w:r>
      <w:r>
        <w:t xml:space="preserve">Methods,</w:t>
      </w:r>
      <w:r>
        <w:t xml:space="preserve"> </w:t>
      </w:r>
      <w:r>
        <w:rPr>
          <w:i/>
          <w:iCs/>
        </w:rPr>
        <w:t xml:space="preserve">Participants and eligibility</w:t>
      </w:r>
      <w:r>
        <w:t xml:space="preserve">.</w:t>
      </w:r>
      <w:r>
        <w:t xml:space="preserve"> </w:t>
      </w:r>
      <w:r>
        <w:rPr>
          <w:i/>
          <w:iCs/>
        </w:rPr>
        <w:t xml:space="preserve">Now in:</w:t>
      </w:r>
      <w:r>
        <w:t xml:space="preserve"> </w:t>
      </w:r>
      <w:r>
        <w:t xml:space="preserve">Supplement M2, and the numbers themselves are Table 1.</w:t>
      </w:r>
      <w:r>
        <w:t xml:space="preserve"> </w:t>
      </w:r>
      <w:r>
        <w:rPr>
          <w:i/>
          <w:iCs/>
        </w:rPr>
        <w:t xml:space="preserve">A reviewer asks this when:</w:t>
      </w:r>
      <w:r>
        <w:t xml:space="preserve"> </w:t>
      </w:r>
      <w:r>
        <w:t xml:space="preserve">they read</w:t>
      </w:r>
      <w:r>
        <w:t xml:space="preserve"> </w:t>
      </w:r>
      <w:r>
        <w:t xml:space="preserve">“not necessarily the patient’s first</w:t>
      </w:r>
      <w:r>
        <w:t xml:space="preserve"> </w:t>
      </w:r>
      <w:r>
        <w:t xml:space="preserve">lifetime exposure”</w:t>
      </w:r>
      <w:r>
        <w:t xml:space="preserve"> </w:t>
      </w:r>
      <w:r>
        <w:t xml:space="preserve">and want to know how often that actually happens.</w:t>
      </w:r>
    </w:p>
    <w:p>
      <w:pPr>
        <w:pStyle w:val="BlockText"/>
      </w:pPr>
      <w:r>
        <w:t xml:space="preserve">Because the index is tied to the first</w:t>
      </w:r>
      <w:r>
        <w:t xml:space="preserve"> </w:t>
      </w:r>
      <w:r>
        <w:rPr>
          <w:i/>
          <w:iCs/>
        </w:rPr>
        <w:t xml:space="preserve">documented depression diagnosis</w:t>
      </w:r>
      <w:r>
        <w:t xml:space="preserve">, a</w:t>
      </w:r>
      <w:r>
        <w:t xml:space="preserve"> </w:t>
      </w:r>
      <w:r>
        <w:t xml:space="preserve">patient may carry antidepressant courses that began before that diagnosis was</w:t>
      </w:r>
      <w:r>
        <w:t xml:space="preserve"> </w:t>
      </w:r>
      <w:r>
        <w:t xml:space="preserve">recorded: 24.0% of the cohort has some recorded pre-index antidepressant</w:t>
      </w:r>
      <w:r>
        <w:t xml:space="preserve"> </w:t>
      </w:r>
      <w:r>
        <w:t xml:space="preserve">exposure and 14.7% has at least one pre-index course meeting the 42-day</w:t>
      </w:r>
      <w:r>
        <w:t xml:space="preserve"> </w:t>
      </w:r>
      <w:r>
        <w:t xml:space="preserve">adequacy threshold used for the trial-count predictors.</w:t>
      </w:r>
    </w:p>
    <w:bookmarkEnd w:id="24"/>
    <w:bookmarkStart w:id="25" w:name="X69e4991995457d6bdc6e9cb8c327528c65e1dd8"/>
    <w:p>
      <w:pPr>
        <w:pStyle w:val="Heading3"/>
      </w:pPr>
      <w:r>
        <w:t xml:space="preserve">2.5 Predictor selection: what rules out a data-driven screen</w:t>
      </w:r>
    </w:p>
    <w:p>
      <w:pPr>
        <w:pStyle w:val="FirstParagraph"/>
      </w:pPr>
      <w:r>
        <w:rPr>
          <w:i/>
          <w:iCs/>
        </w:rPr>
        <w:t xml:space="preserve">Was in:</w:t>
      </w:r>
      <w:r>
        <w:t xml:space="preserve"> </w:t>
      </w:r>
      <w:r>
        <w:t xml:space="preserve">Methods,</w:t>
      </w:r>
      <w:r>
        <w:t xml:space="preserve"> </w:t>
      </w:r>
      <w:r>
        <w:rPr>
          <w:i/>
          <w:iCs/>
        </w:rPr>
        <w:t xml:space="preserve">Predictors and patient representations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Predictor</w:t>
      </w:r>
      <w:r>
        <w:rPr>
          <w:b/>
          <w:bCs/>
        </w:rPr>
        <w:t xml:space="preserve"> </w:t>
      </w:r>
      <w:r>
        <w:rPr>
          <w:b/>
          <w:bCs/>
        </w:rPr>
        <w:t xml:space="preserve">selection</w:t>
      </w:r>
      <w:r>
        <w:t xml:space="preserve">.</w:t>
      </w:r>
      <w:r>
        <w:t xml:space="preserve"> </w:t>
      </w:r>
      <w:r>
        <w:rPr>
          <w:i/>
          <w:iCs/>
        </w:rPr>
        <w:t xml:space="preserve">Now in:</w:t>
      </w:r>
      <w:r>
        <w:t xml:space="preserve"> </w:t>
      </w:r>
      <w:r>
        <w:t xml:space="preserve">Supplement M4, first paragraph.</w:t>
      </w:r>
      <w:r>
        <w:t xml:space="preserve"> </w:t>
      </w:r>
      <w:r>
        <w:rPr>
          <w:i/>
          <w:iCs/>
        </w:rPr>
        <w:t xml:space="preserve">A reviewer asks this when:</w:t>
      </w:r>
      <w:r>
        <w:t xml:space="preserve"> </w:t>
      </w:r>
      <w:r>
        <w:t xml:space="preserve">they suspect the predictor set was tuned against</w:t>
      </w:r>
      <w:r>
        <w:t xml:space="preserve"> </w:t>
      </w:r>
      <w:r>
        <w:t xml:space="preserve">the outcome, which would inflate every reported number.</w:t>
      </w:r>
    </w:p>
    <w:p>
      <w:pPr>
        <w:pStyle w:val="BlockText"/>
      </w:pPr>
      <w:r>
        <w:t xml:space="preserve">No predictor was kept or discarded on the strength of its measured association</w:t>
      </w:r>
      <w:r>
        <w:t xml:space="preserve"> </w:t>
      </w:r>
      <w:r>
        <w:t xml:space="preserve">with TRD, and no automated selection step ran at any stage. The predictor list</w:t>
      </w:r>
      <w:r>
        <w:t xml:space="preserve"> </w:t>
      </w:r>
      <w:r>
        <w:t xml:space="preserve">was therefore settled before any patient’s outcome was consulted, which is what</w:t>
      </w:r>
      <w:r>
        <w:t xml:space="preserve"> </w:t>
      </w:r>
      <w:r>
        <w:t xml:space="preserve">rules out the reported performance having been inflated by a selection step</w:t>
      </w:r>
      <w:r>
        <w:t xml:space="preserve"> </w:t>
      </w:r>
      <w:r>
        <w:t xml:space="preserve">that had already seen the data it was later scored on.</w:t>
      </w:r>
    </w:p>
    <w:bookmarkEnd w:id="25"/>
    <w:bookmarkStart w:id="26" w:name="Xabbbe66ec39e83a7e911699bcb60689bc4f8ebb"/>
    <w:p>
      <w:pPr>
        <w:pStyle w:val="Heading3"/>
      </w:pPr>
      <w:r>
        <w:t xml:space="preserve">2.6 Why sociodemographic fields were deliberately kept</w:t>
      </w:r>
    </w:p>
    <w:p>
      <w:pPr>
        <w:pStyle w:val="FirstParagraph"/>
      </w:pPr>
      <w:r>
        <w:rPr>
          <w:i/>
          <w:iCs/>
        </w:rPr>
        <w:t xml:space="preserve">Was in:</w:t>
      </w:r>
      <w:r>
        <w:t xml:space="preserve"> </w:t>
      </w:r>
      <w:r>
        <w:t xml:space="preserve">Methods,</w:t>
      </w:r>
      <w:r>
        <w:t xml:space="preserve"> </w:t>
      </w:r>
      <w:r>
        <w:rPr>
          <w:i/>
          <w:iCs/>
        </w:rPr>
        <w:t xml:space="preserve">Predictors and patient representations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Predictor</w:t>
      </w:r>
      <w:r>
        <w:rPr>
          <w:b/>
          <w:bCs/>
        </w:rPr>
        <w:t xml:space="preserve"> </w:t>
      </w:r>
      <w:r>
        <w:rPr>
          <w:b/>
          <w:bCs/>
        </w:rPr>
        <w:t xml:space="preserve">selection</w:t>
      </w:r>
      <w:r>
        <w:t xml:space="preserve">.</w:t>
      </w:r>
      <w:r>
        <w:t xml:space="preserve"> </w:t>
      </w:r>
      <w:r>
        <w:rPr>
          <w:i/>
          <w:iCs/>
        </w:rPr>
        <w:t xml:space="preserve">Now in:</w:t>
      </w:r>
      <w:r>
        <w:t xml:space="preserve"> </w:t>
      </w:r>
      <w:r>
        <w:t xml:space="preserve">Supplement M4, third paragraph.</w:t>
      </w:r>
      <w:r>
        <w:t xml:space="preserve"> </w:t>
      </w:r>
      <w:r>
        <w:rPr>
          <w:i/>
          <w:iCs/>
        </w:rPr>
        <w:t xml:space="preserve">A reviewer asks this when:</w:t>
      </w:r>
      <w:r>
        <w:t xml:space="preserve"> </w:t>
      </w:r>
      <w:r>
        <w:t xml:space="preserve">they ask why a model that makes no fairness claim</w:t>
      </w:r>
      <w:r>
        <w:t xml:space="preserve"> </w:t>
      </w:r>
      <w:r>
        <w:t xml:space="preserve">was given race and social-determinant inputs at all.</w:t>
      </w:r>
    </w:p>
    <w:p>
      <w:pPr>
        <w:pStyle w:val="BlockText"/>
      </w:pPr>
      <w:r>
        <w:t xml:space="preserve">Sociodemographic and social-determinant fields were retained so that the</w:t>
      </w:r>
      <w:r>
        <w:t xml:space="preserve"> </w:t>
      </w:r>
      <w:r>
        <w:t xml:space="preserve">semantic-feature ablation could test directly whether the models lean on them,</w:t>
      </w:r>
      <w:r>
        <w:t xml:space="preserve"> </w:t>
      </w:r>
      <w:r>
        <w:t xml:space="preserve">rather than leaving that question unanswerable by construction.</w:t>
      </w:r>
    </w:p>
    <w:bookmarkEnd w:id="26"/>
    <w:bookmarkStart w:id="27" w:name="Xccb14a8b21f0d4002f8942011b8275654749777"/>
    <w:p>
      <w:pPr>
        <w:pStyle w:val="Heading3"/>
      </w:pPr>
      <w:r>
        <w:t xml:space="preserve">2.7 The frozen-classifier argument for the ablation</w:t>
      </w:r>
    </w:p>
    <w:p>
      <w:pPr>
        <w:pStyle w:val="FirstParagraph"/>
      </w:pPr>
      <w:r>
        <w:rPr>
          <w:i/>
          <w:iCs/>
        </w:rPr>
        <w:t xml:space="preserve">Was in:</w:t>
      </w:r>
      <w:r>
        <w:t xml:space="preserve"> </w:t>
      </w:r>
      <w:r>
        <w:t xml:space="preserve">Methods,</w:t>
      </w:r>
      <w:r>
        <w:t xml:space="preserve"> </w:t>
      </w:r>
      <w:r>
        <w:rPr>
          <w:i/>
          <w:iCs/>
        </w:rPr>
        <w:t xml:space="preserve">Semantic-feature ablation</w:t>
      </w:r>
      <w:r>
        <w:t xml:space="preserve">.</w:t>
      </w:r>
      <w:r>
        <w:t xml:space="preserve"> </w:t>
      </w:r>
      <w:r>
        <w:rPr>
          <w:i/>
          <w:iCs/>
        </w:rPr>
        <w:t xml:space="preserve">Now in:</w:t>
      </w:r>
      <w:r>
        <w:t xml:space="preserve"> </w:t>
      </w:r>
      <w:r>
        <w:t xml:space="preserve">Supplement M11, first paragraph, in shorter form.</w:t>
      </w:r>
      <w:r>
        <w:t xml:space="preserve"> </w:t>
      </w:r>
      <w:r>
        <w:rPr>
          <w:i/>
          <w:iCs/>
        </w:rPr>
        <w:t xml:space="preserve">A reviewer asks this when:</w:t>
      </w:r>
      <w:r>
        <w:t xml:space="preserve"> </w:t>
      </w:r>
      <w:r>
        <w:t xml:space="preserve">they ask why the ablated models were not retrained,</w:t>
      </w:r>
      <w:r>
        <w:t xml:space="preserve"> </w:t>
      </w:r>
      <w:r>
        <w:t xml:space="preserve">which looks like an oversight until the reason is stated.</w:t>
      </w:r>
    </w:p>
    <w:p>
      <w:pPr>
        <w:pStyle w:val="BlockText"/>
      </w:pPr>
      <w:r>
        <w:t xml:space="preserve">Holding the classifiers</w:t>
      </w:r>
      <w:r>
        <w:t xml:space="preserve"> </w:t>
      </w:r>
      <w:r>
        <w:rPr>
          <w:i/>
          <w:iCs/>
        </w:rPr>
        <w:t xml:space="preserve">frozen</w:t>
      </w:r>
      <w:r>
        <w:t xml:space="preserve"> </w:t>
      </w:r>
      <w:r>
        <w:t xml:space="preserve">is deliberate: it answers the</w:t>
      </w:r>
      <w:r>
        <w:t xml:space="preserve"> </w:t>
      </w:r>
      <w:r>
        <w:t xml:space="preserve">input-perturbation question</w:t>
      </w:r>
      <w:r>
        <w:t xml:space="preserve"> </w:t>
      </w:r>
      <w:r>
        <w:t xml:space="preserve">“does the embedder’s encoding of concept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drive</w:t>
      </w:r>
      <w:r>
        <w:t xml:space="preserve"> </w:t>
      </w:r>
      <w:r>
        <w:t xml:space="preserve">predictions?”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“could a retrained model find a substitute signal and</w:t>
      </w:r>
      <w:r>
        <w:t xml:space="preserve"> </w:t>
      </w:r>
      <w:r>
        <w:t xml:space="preserve">route around the ablation?”</w:t>
      </w:r>
      <w:r>
        <w:t xml:space="preserve"> </w:t>
      </w:r>
      <w:r>
        <w:t xml:space="preserve">— a retrained baseline would mask the very</w:t>
      </w:r>
      <w:r>
        <w:t xml:space="preserve"> </w:t>
      </w:r>
      <w:r>
        <w:t xml:space="preserve">dependence we set out to measure.</w:t>
      </w:r>
    </w:p>
    <w:bookmarkEnd w:id="27"/>
    <w:bookmarkStart w:id="28" w:name="Xd2516f962f493d5a18e2d3b65ccc4bafc916b75"/>
    <w:p>
      <w:pPr>
        <w:pStyle w:val="Heading3"/>
      </w:pPr>
      <w:r>
        <w:t xml:space="preserve">2.8 The subsampled retrieval scheme, and what it does not assume</w:t>
      </w:r>
    </w:p>
    <w:p>
      <w:pPr>
        <w:pStyle w:val="FirstParagraph"/>
      </w:pPr>
      <w:r>
        <w:rPr>
          <w:i/>
          <w:iCs/>
        </w:rPr>
        <w:t xml:space="preserve">Was in:</w:t>
      </w:r>
      <w:r>
        <w:t xml:space="preserve"> </w:t>
      </w:r>
      <w:r>
        <w:t xml:space="preserve">Methods,</w:t>
      </w:r>
      <w:r>
        <w:t xml:space="preserve"> </w:t>
      </w:r>
      <w:r>
        <w:rPr>
          <w:i/>
          <w:iCs/>
        </w:rPr>
        <w:t xml:space="preserve">Model development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Neighbor-weighted retrieval</w:t>
      </w:r>
      <w:r>
        <w:rPr>
          <w:b/>
          <w:bCs/>
        </w:rPr>
        <w:t xml:space="preserve"> </w:t>
      </w:r>
      <w:r>
        <w:rPr>
          <w:b/>
          <w:bCs/>
        </w:rPr>
        <w:t xml:space="preserve">prediction</w:t>
      </w:r>
      <w:r>
        <w:t xml:space="preserve">.</w:t>
      </w:r>
      <w:r>
        <w:t xml:space="preserve"> </w:t>
      </w:r>
      <w:r>
        <w:rPr>
          <w:i/>
          <w:iCs/>
        </w:rPr>
        <w:t xml:space="preserve">Now in:</w:t>
      </w:r>
      <w:r>
        <w:t xml:space="preserve"> </w:t>
      </w:r>
      <w:r>
        <w:t xml:space="preserve">Supplement M10, final paragraph, in shorter form.</w:t>
      </w:r>
      <w:r>
        <w:t xml:space="preserve"> </w:t>
      </w:r>
      <w:r>
        <w:rPr>
          <w:i/>
          <w:iCs/>
        </w:rPr>
        <w:t xml:space="preserve">A reviewer asks this when:</w:t>
      </w:r>
      <w:r>
        <w:t xml:space="preserve"> </w:t>
      </w:r>
      <w:r>
        <w:t xml:space="preserve">they read</w:t>
      </w:r>
      <w:r>
        <w:t xml:space="preserve"> </w:t>
      </w:r>
      <w:r>
        <w:t xml:space="preserve">“subsampled”</w:t>
      </w:r>
      <w:r>
        <w:t xml:space="preserve"> </w:t>
      </w:r>
      <w:r>
        <w:t xml:space="preserve">and take it as an assumption</w:t>
      </w:r>
      <w:r>
        <w:t xml:space="preserve"> </w:t>
      </w:r>
      <w:r>
        <w:t xml:space="preserve">that hub vectors exist in this embedding.</w:t>
      </w:r>
    </w:p>
    <w:p>
      <w:pPr>
        <w:pStyle w:val="BlockText"/>
      </w:pPr>
      <w:r>
        <w:t xml:space="preserve">Its</w:t>
      </w:r>
      <w:r>
        <w:t xml:space="preserve"> </w:t>
      </w:r>
      <w:r>
        <w:rPr>
          <w:i/>
          <w:iCs/>
        </w:rPr>
        <w:t xml:space="preserve">motivation</w:t>
      </w:r>
      <w:r>
        <w:t xml:space="preserve"> </w:t>
      </w:r>
      <w:r>
        <w:t xml:space="preserve">is to inject diversity into the neighborhood and dilute the</w:t>
      </w:r>
      <w:r>
        <w:t xml:space="preserve"> </w:t>
      </w:r>
      <w:r>
        <w:t xml:space="preserve">influence of geometric</w:t>
      </w:r>
      <w:r>
        <w:t xml:space="preserve"> </w:t>
      </w:r>
      <w:r>
        <w:t xml:space="preserve">“hub”</w:t>
      </w:r>
      <w:r>
        <w:t xml:space="preserve"> </w:t>
      </w:r>
      <w:r>
        <w:t xml:space="preserve">vectors — patients who, if present in the</w:t>
      </w:r>
      <w:r>
        <w:t xml:space="preserve"> </w:t>
      </w:r>
      <w:r>
        <w:t xml:space="preserve">embedding, would fall among the nearest neighbors of almost every anchor and be</w:t>
      </w:r>
      <w:r>
        <w:t xml:space="preserve"> </w:t>
      </w:r>
      <w:r>
        <w:t xml:space="preserve">returned repeatedly by a pure nearest search. The scheme was designed to test</w:t>
      </w:r>
      <w:r>
        <w:t xml:space="preserve"> </w:t>
      </w:r>
      <w:r>
        <w:t xml:space="preserve">whether discrimination survives when the very closest, and potentially</w:t>
      </w:r>
      <w:r>
        <w:t xml:space="preserve"> </w:t>
      </w:r>
      <w:r>
        <w:t xml:space="preserve">redundant, neighbors are replaced by merely similar ones; whether such hubs</w:t>
      </w:r>
      <w:r>
        <w:t xml:space="preserve"> </w:t>
      </w:r>
      <w:r>
        <w:t xml:space="preserve">actually distort this particular cohort is an empirical question the scheme</w:t>
      </w:r>
      <w:r>
        <w:t xml:space="preserve"> </w:t>
      </w:r>
      <w:r>
        <w:t xml:space="preserve">probes rather than a mechanism we assume. In the event, subsampled retrieval</w:t>
      </w:r>
      <w:r>
        <w:t xml:space="preserve"> </w:t>
      </w:r>
      <w:r>
        <w:t xml:space="preserve">landed between random and nearest and stayed below nearest, so no strong hub</w:t>
      </w:r>
      <w:r>
        <w:t xml:space="preserve"> </w:t>
      </w:r>
      <w:r>
        <w:t xml:space="preserve">effect was needed to account for the results.</w:t>
      </w:r>
    </w:p>
    <w:bookmarkEnd w:id="28"/>
    <w:bookmarkEnd w:id="29"/>
    <w:bookmarkStart w:id="30" w:name="tripodai-coverage-after-the-cut"/>
    <w:p>
      <w:pPr>
        <w:pStyle w:val="Heading2"/>
      </w:pPr>
      <w:r>
        <w:t xml:space="preserve">3. TRIPOD+AI coverage after the cut</w:t>
      </w:r>
    </w:p>
    <w:p>
      <w:pPr>
        <w:pStyle w:val="FirstParagraph"/>
      </w:pPr>
      <w:r>
        <w:t xml:space="preserve">No checklist item lost its home. Every row of the completed checklist that used</w:t>
      </w:r>
      <w:r>
        <w:t xml:space="preserve"> </w:t>
      </w:r>
      <w:r>
        <w:t xml:space="preserve">to point at a Methods subsection now points at that subsection, at its M-section,</w:t>
      </w:r>
      <w:r>
        <w:t xml:space="preserve"> </w:t>
      </w:r>
      <w:r>
        <w:t xml:space="preserve">or at both, and the checklist was updated in the same pass as the condensation.</w:t>
      </w:r>
      <w:r>
        <w:t xml:space="preserve"> </w:t>
      </w:r>
      <w:r>
        <w:t xml:space="preserve">The items that moved furthest are the ones whose whole substance is now</w:t>
      </w:r>
      <w:r>
        <w:t xml:space="preserve"> </w:t>
      </w:r>
      <w:r>
        <w:t xml:space="preserve">supplementary: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Was</w:t>
            </w:r>
          </w:p>
        </w:tc>
        <w:tc>
          <w:tcPr/>
          <w:p>
            <w:pPr>
              <w:pStyle w:val="Compact"/>
            </w:pPr>
            <w:r>
              <w:t xml:space="preserve">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5a (data sources, representativeness)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rPr>
                <w:i/>
                <w:iCs/>
              </w:rPr>
              <w:t xml:space="preserve">Source of data and study design</w:t>
            </w:r>
            <w:r>
              <w:t xml:space="preserve"> </w:t>
            </w:r>
            <w:r>
              <w:t xml:space="preserve">incl. </w:t>
            </w:r>
            <w:r>
              <w:rPr>
                <w:i/>
                <w:iCs/>
              </w:rP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rPr>
                <w:i/>
                <w:iCs/>
              </w:rPr>
              <w:t xml:space="preserve">Study design and data source</w:t>
            </w:r>
            <w:r>
              <w:t xml:space="preserve">; Supplement 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6b (eligibility)</w:t>
            </w:r>
          </w:p>
        </w:tc>
        <w:tc>
          <w:tcPr/>
          <w:p>
            <w:pPr>
              <w:pStyle w:val="Compact"/>
            </w:pPr>
            <w:r>
              <w:t xml:space="preserve">Methods + Results, Table 1</w:t>
            </w:r>
          </w:p>
        </w:tc>
        <w:tc>
          <w:tcPr/>
          <w:p>
            <w:pPr>
              <w:pStyle w:val="Compact"/>
            </w:pPr>
            <w:r>
              <w:t xml:space="preserve">Methods; Supplement M2, Table 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9a (predictor pre-selection)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rPr>
                <w:b/>
                <w:bCs/>
              </w:rPr>
              <w:t xml:space="preserve">Predictor selection</w:t>
            </w:r>
          </w:p>
        </w:tc>
        <w:tc>
          <w:tcPr/>
          <w:p>
            <w:pPr>
              <w:pStyle w:val="Compact"/>
            </w:pPr>
            <w:r>
              <w:t xml:space="preserve">Methods; Supplement 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(study size, EPV)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rPr>
                <w:i/>
                <w:iCs/>
              </w:rPr>
              <w:t xml:space="preserve">Sample size and events per variable</w:t>
            </w:r>
          </w:p>
        </w:tc>
        <w:tc>
          <w:tcPr/>
          <w:p>
            <w:pPr>
              <w:pStyle w:val="Compact"/>
            </w:pPr>
            <w:r>
              <w:t xml:space="preserve">Supplement M7; Table 6 caption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(missing data)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rPr>
                <w:i/>
                <w:iCs/>
              </w:rPr>
              <w:t xml:space="preserve">Missing data</w:t>
            </w:r>
          </w:p>
        </w:tc>
        <w:tc>
          <w:tcPr/>
          <w:p>
            <w:pPr>
              <w:pStyle w:val="Compact"/>
            </w:pPr>
            <w:r>
              <w:t xml:space="preserve">Methods; Supplement M6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12a (partition)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rPr>
                <w:i/>
                <w:iCs/>
              </w:rPr>
              <w:t xml:space="preserve">Train/test split</w:t>
            </w:r>
          </w:p>
        </w:tc>
        <w:tc>
          <w:tcPr/>
          <w:p>
            <w:pPr>
              <w:pStyle w:val="Compact"/>
            </w:pPr>
            <w:r>
              <w:t xml:space="preserve">Methods; Supplement M8</w:t>
            </w:r>
          </w:p>
        </w:tc>
      </w:tr>
    </w:tbl>
    <w:p>
      <w:pPr>
        <w:pStyle w:val="BodyText"/>
      </w:pPr>
      <w:r>
        <w:t xml:space="preserve">The one thing a main-text-only reader now loses is the derivation of</w:t>
      </w:r>
      <w:r>
        <w:t xml:space="preserve"> </w:t>
      </w:r>
      <w:r>
        <w:t xml:space="preserve">events per variable. The term is still defined where it is used, in the Table 6</w:t>
      </w:r>
      <w:r>
        <w:t xml:space="preserve"> </w:t>
      </w:r>
      <w:r>
        <w:t xml:space="preserve">caption, and the full derivation is Supplement M7.</w:t>
      </w:r>
    </w:p>
    <w:bookmarkEnd w:id="30"/>
    <w:bookmarkStart w:id="31" w:name="what-this-document-is-not"/>
    <w:p>
      <w:pPr>
        <w:pStyle w:val="Heading2"/>
      </w:pPr>
      <w:r>
        <w:t xml:space="preserve">4. What this document is not</w:t>
      </w:r>
    </w:p>
    <w:p>
      <w:pPr>
        <w:pStyle w:val="FirstParagraph"/>
      </w:pPr>
      <w:r>
        <w:t xml:space="preserve">It is not a second Methods section and must never be cited from the manuscript.</w:t>
      </w:r>
      <w:r>
        <w:t xml:space="preserve"> </w:t>
      </w:r>
      <w:r>
        <w:t xml:space="preserve">It is not a record of the analyses themselves — the matched-input parity result</w:t>
      </w:r>
      <w:r>
        <w:t xml:space="preserve"> </w:t>
      </w:r>
      <w:r>
        <w:t xml:space="preserve">has its own reserve report (</w:t>
      </w:r>
      <w:r>
        <w:rPr>
          <w:rStyle w:val="VerbatimChar"/>
        </w:rPr>
        <w:t xml:space="preserve">matched_input_parity.md</w:t>
      </w:r>
      <w:r>
        <w:t xml:space="preserve">) and the religion</w:t>
      </w:r>
      <w:r>
        <w:t xml:space="preserve"> </w:t>
      </w:r>
      <w:r>
        <w:t xml:space="preserve">sensitivity analysis will have its own. And it is not a place to put new</w:t>
      </w:r>
      <w:r>
        <w:t xml:space="preserve"> </w:t>
      </w:r>
      <w:r>
        <w:t xml:space="preserve">material: anything new goes in an M-section, and only text that has been</w:t>
      </w:r>
      <w:r>
        <w:t xml:space="preserve"> </w:t>
      </w:r>
      <w:r>
        <w:rPr>
          <w:i/>
          <w:iCs/>
        </w:rPr>
        <w:t xml:space="preserve">removed</w:t>
      </w:r>
      <w:r>
        <w:t xml:space="preserve"> </w:t>
      </w:r>
      <w:r>
        <w:t xml:space="preserve">from the packet is recorded here.</w:t>
      </w:r>
    </w:p>
    <w:bookmarkEnd w:id="31"/>
    <w:bookmarkEnd w:id="32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2026-10-10T14:41:31Z</dcterms:created>
  <dcterms:modified xsi:type="dcterms:W3CDTF">2026-10-10T14:41:31Z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