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7F5A4D" w14:textId="77777777" w:rsidR="00FB7D8A" w:rsidRDefault="00000000">
      <w:pPr>
        <w:keepNext/>
        <w:spacing w:before="240" w:after="100"/>
      </w:pPr>
      <w:r>
        <w:rPr>
          <w:b/>
          <w:color w:val="0B2545"/>
          <w:sz w:val="44"/>
        </w:rPr>
        <w:t>Discussion: Structural EHR Signal for TRD Prediction</w:t>
      </w:r>
    </w:p>
    <w:p w14:paraId="5FB83282" w14:textId="77777777" w:rsidR="00FB7D8A" w:rsidRDefault="00000000">
      <w:pPr>
        <w:keepNext/>
        <w:spacing w:after="280"/>
      </w:pPr>
      <w:r>
        <w:rPr>
          <w:i/>
          <w:color w:val="51606F"/>
          <w:sz w:val="25"/>
        </w:rPr>
        <w:t>Integrated manuscript draft</w:t>
      </w:r>
    </w:p>
    <w:p w14:paraId="38768CB4" w14:textId="77777777" w:rsidR="00FB7D8A" w:rsidRDefault="00000000">
      <w:pPr>
        <w:shd w:val="clear" w:color="auto" w:fill="F4F6F9"/>
        <w:spacing w:after="240" w:line="276" w:lineRule="auto"/>
        <w:ind w:left="173" w:right="173"/>
      </w:pPr>
      <w:r>
        <w:rPr>
          <w:i/>
          <w:color w:val="3F4B57"/>
          <w:sz w:val="19"/>
        </w:rPr>
        <w:t>Editorial note (remove before submission): Background references were provisionally numbered [25-31], after the highest citation number in the supplied manuscript materials. Reconcile these numbers with the master reference manager.</w:t>
      </w:r>
    </w:p>
    <w:p w14:paraId="3700A950" w14:textId="77777777" w:rsidR="00FB7D8A" w:rsidRDefault="00000000">
      <w:pPr>
        <w:pStyle w:val="Heading1"/>
      </w:pPr>
      <w:r>
        <w:t>Discussion</w:t>
      </w:r>
    </w:p>
    <w:p w14:paraId="2F6C2653" w14:textId="77777777" w:rsidR="00FB7D8A" w:rsidRDefault="00000000">
      <w:pPr>
        <w:pStyle w:val="Heading2"/>
      </w:pPr>
      <w:r>
        <w:t>Principal Findings</w:t>
      </w:r>
    </w:p>
    <w:p w14:paraId="630703D5" w14:textId="77777777" w:rsidR="00FB7D8A" w:rsidRDefault="00000000">
      <w:r>
        <w:t>EHR-derived patient representations carried modest but measurable signal for a treatment-switch–defined proxy for subsequent treatment-resistant depression (TRD) at the index antidepressant prescription. A generalized pretrained transformer embedding of a deterministic patient narrative, classified by logistic regression, discriminated essentially as well as the best typed feature-vector model (ROC AUC 0.657 for embedded logistic regression versus 0.649 for feature-vector XGBoost). Because both representations scored the same held-out patients, the paired bootstrap provides the relevant comparison: the ROC AUC difference was +0.008 (95% CI −0.003 to +0.019). The result supports parity, not superiority, and the confidence interval excludes more than a small gain in discrimination from the embedding under the present design. Because both representations were generated from the same pre-index structured record, this parity should not be interpreted as evidence that narrative embedding added new clinical information. Rather, it shows that a generalized embedding can reorganize the available structural signal without materially degrading discrimination.</w:t>
      </w:r>
    </w:p>
    <w:p w14:paraId="1F2AFFBC" w14:textId="77777777" w:rsidR="00FB7D8A" w:rsidRDefault="00000000">
      <w:r>
        <w:t>Logistic regression was the strongest embedded classifier for all 4 encoders and the best-discriminating model overall for the primary encoder. Classifier-matched paired contrasts further showed that the embedding outperformed the feature vector with logistic regression (+0.028) but underperformed it with all 3 tree ensembles (−0.013 to −0.022). Representation and learner were therefore interacting design choices rather than separable components. Dense latent coordinates distribute information in a form that is naturally accommodated by a regularized linear combination, whereas one-coordinate-at-a-time tree splits no longer operate on individually meaningful clinical variables. This pattern is consistent with a decision boundary that is efficiently captured by a regularized linear model, but it does not establish that the latent clinical structure is intrinsically linear; differences in regularization, dimensionality, and inductive bias provide alternative explanations.</w:t>
      </w:r>
    </w:p>
    <w:p w14:paraId="4FA1A4B7" w14:textId="77777777" w:rsidR="00FB7D8A" w:rsidRDefault="00000000">
      <w:r>
        <w:t xml:space="preserve">The fitted elastic net model also used only a restricted portion of the 4096-dimensional space. It assigned nonzero coefficients to 385 dimensions, and approximately 80% of the total absolute </w:t>
      </w:r>
      <w:r>
        <w:lastRenderedPageBreak/>
        <w:t>coefficient mass was concentrated in 179 dimensions (Figure 8). Thus, fewer than 5% of the available latent dimensions accounted for most of the fitted coefficient magnitude. This concentration reduces the discrepancy between nominal input dimension and fitted model complexity and makes the events-per-variable concern less severe than a raw count of 4096 inputs would imply. It does not eliminate that concern: selected latent directions may be unstable across resamples or sites, and coefficient magnitude does not confer semantic interpretability or establish that those directions represent distinct biological processes.</w:t>
      </w:r>
    </w:p>
    <w:p w14:paraId="0738DD05" w14:textId="77777777" w:rsidR="00FB7D8A" w:rsidRDefault="00000000">
      <w:r>
        <w:t>Semantic-feature ablation localized direct-input reliance to psychiatric history, medication burden, and prior treatment exposure. Permuting race/ethnicity or recorded social determinants of health produced essentially no loss of discrimination. The supported claim is therefore narrow: under the tested perturbations, the fitted embedding pipeline did not rely materially on these direct sociodemographic inputs for overall discrimination. This is not a fairness result. The analysis does not determine whether demographic information is indirectly recoverable from diagnosis, medication, or utilization patterns; whether access-dependent treatment switching produces inequitable labels; or whether discrimination and calibration are comparable within demographic subgroups. Those questions require separate subgroup, calibration, and process-bias analyses.</w:t>
      </w:r>
    </w:p>
    <w:p w14:paraId="2B83C8CF" w14:textId="77777777" w:rsidR="00FB7D8A" w:rsidRDefault="00000000">
      <w:r>
        <w:t>The neighbor-weighted predictor was informative about representation geometry rather than competitive as a prediction model. Nearest-neighbor retrieval discriminated markedly better than random retrieval (Table 6), demonstrating that proximity in the embedding was associated with TRD risk. Retrieval choice mattered substantially more than weighting choice. The language-model similarity judge improved discrimination mainly when retrieval was uninformative, where it could upweight the few clinically congruent patients contained in a nontargeted draw. Even its best performance remained below that of the trained classifiers (approximately 0.60 versus approximately 0.66). We therefore interpret retrieval as evidence of label-informative local geometry, not as a deployable prediction strategy. The judge's overall score was used only as a weighting variable; without human-rated anchor-neighbor pairs, its accuracy and calibration were not established. Its domain subscores and free-text rationales were not reliable enough for inferential use (Supplement S1).</w:t>
      </w:r>
    </w:p>
    <w:p w14:paraId="79BB6551" w14:textId="77777777" w:rsidR="00FB7D8A" w:rsidRDefault="00000000">
      <w:pPr>
        <w:pStyle w:val="Heading2"/>
      </w:pPr>
      <w:r>
        <w:t>Clinical Interpretation</w:t>
      </w:r>
    </w:p>
    <w:p w14:paraId="252AD681" w14:textId="77777777" w:rsidR="00FB7D8A" w:rsidRDefault="00000000">
      <w:r>
        <w:t xml:space="preserve">The strongest correlates in the typed feature model—a history of suicidality, severe MDD coding, and broad psychiatric and substance-use comorbidity, including anxiety, insomnia, posttraumatic stress disorder, and substance-use disorders—are clinically coherent markers of a more severe and complex illness course. The semantic ablation converged at the domain level by identifying psychiatric history, medication burden, and prior treatment exposure as the principal sources of embedded predictive signal. This convergence is reassuring with respect to face validity, but it should not be overstated: the outcome is a treatment trajectory recorded in routine care, and the identified predictors can reflect </w:t>
      </w:r>
      <w:r>
        <w:lastRenderedPageBreak/>
        <w:t>illness severity, treatment opportunity, care continuity, prescribing practice, and health care access simultaneously.</w:t>
      </w:r>
    </w:p>
    <w:p w14:paraId="7773D2ED" w14:textId="77777777" w:rsidR="00FB7D8A" w:rsidRDefault="00000000">
      <w:r>
        <w:t>This distinction is central because EHR-defined TRD is not a single, symptom-verified construct. Real-world definitions commonly combine treatment counts, minimum durations, switching, augmentation, and advanced interventions, and changes in these rules materially alter both estimated prevalence and the clinical composition of the identified group [25-27]. The present target should therefore be understood as a post-index treatment-switch phenotype rather than direct evidence of inadequate response to 2 adequate treatment trials. Its temporal design is nevertheless an important strength: every predictor was fixed before the index prescription, whereas the treatment sequence defining the outcome occurred afterward. This separation reduces the risk that model performance simply reconstructs the outcome rule from contemporaneous or future treatment data. It cannot remove the dependence of the label on subsequent observation, access, tolerability, clinician behavior, or insurance constraints.</w:t>
      </w:r>
    </w:p>
    <w:p w14:paraId="316FB38D" w14:textId="77777777" w:rsidR="00FB7D8A" w:rsidRDefault="00000000">
      <w:r>
        <w:t>The absence of meaningful discrimination loss after direct sociodemographic ablation should be interpreted in this same process-aware framework. It indicates that the tested models did not need the explicitly recorded race/ethnicity or social-determinant fields to achieve their overall ROC AUC. It does not show that the prediction pathway is demographically neutral. A care-process phenotype can reproduce inequities even when protected attributes are omitted, because correlated utilization and treatment variables may encode differential access and because the opportunity to receive multiple medication changes is itself socially patterned.</w:t>
      </w:r>
    </w:p>
    <w:p w14:paraId="2547FFD1" w14:textId="77777777" w:rsidR="00FB7D8A" w:rsidRDefault="00000000">
      <w:pPr>
        <w:pStyle w:val="Heading2"/>
      </w:pPr>
      <w:r>
        <w:t>Comparison With Prior Work</w:t>
      </w:r>
    </w:p>
    <w:p w14:paraId="562DB55D" w14:textId="77777777" w:rsidR="00FB7D8A" w:rsidRDefault="00000000">
      <w:r>
        <w:t>Earlier clinical-trial, registry, and EHR studies cited in the manuscript have generally shown only modest separation for treatment resistance or antidepressant response [4-8]. The broader structural-EHR literature, however, argues against treating ROC AUC of approximately 0.65 as a universal performance ceiling. Reported discrimination varies with the phenotype definition, prediction horizon, proximity of predictors to the treatment trajectory, available modalities, and whether evaluation is internal or external.</w:t>
      </w:r>
    </w:p>
    <w:p w14:paraId="329392B8" w14:textId="77777777" w:rsidR="00FB7D8A" w:rsidRDefault="00000000">
      <w:r>
        <w:t xml:space="preserve">At the high end, Liberman and colleagues used linked claims and EHR data from 35,246 adults initiating antidepressant treatment and reported a ROC AUC of 0.83 for incident TRD over 24 months [28]. Their predictors included psychiatric visits, nurse contacts, prescription volume, antidepressants attempted, anticonvulsant use, suicidality, insomnia, hypertension, and time from diagnosis to treatment—features that combine illness burden with the structure and intensity of care. By contrast, Lage and colleagues reported an externally validated ROC AUC of 0.652 (95% CI 0.623-0.682), with a top-quintile lift of 1.99 [29]. In a smaller single-site multimodal study, structured EHR data alone yielded a ROC AUC of 0.684, clinical notes alone yielded 0.569, and combining structured data with notes improved performance to 0.728; adding MRI produced the highest performance [30]. These results suggest that structural data </w:t>
      </w:r>
      <w:r>
        <w:lastRenderedPageBreak/>
        <w:t>contain meaningful signal and that genuinely incremental modalities may complement them, but they do not establish that converting the same structural content into text will necessarily add information.</w:t>
      </w:r>
    </w:p>
    <w:p w14:paraId="62705FD4" w14:textId="77777777" w:rsidR="00FB7D8A" w:rsidRDefault="00000000">
      <w:r>
        <w:t>Transportability appears to be the more consequential constraint. In a 3-health-system study, internal ROC AUCs of 0.58-0.64 fell to 0.51-0.58 under external validation; precision-recall performance was low, and patient-level risk estimates were poorly concordant across sites [31]. Against this background, the present ROC AUC of approximately 0.65 is most comparable to the externally validated and single-site structural-EHR estimates, rather than evidence of either a new performance ceiling or a major improvement over prior work. The apparently higher performance in some studies may reflect richer or more proximal care-process variables, different follow-up windows and outcome rules, or internal evaluation rather than a generally transportable increase in TRD signal.</w:t>
      </w:r>
    </w:p>
    <w:p w14:paraId="0C1930B2" w14:textId="77777777" w:rsidR="00FB7D8A" w:rsidRDefault="00000000">
      <w:r>
        <w:t>The distinctive contribution of the present study is therefore representational and analytic rather than a new level of discrimination. Within a controlled, like-for-like comparison using the same patients, temporal cutoff, source record, outcome, and held-out split, a generalized transformer embedding preserved the clinically coherent structural signal available to a transparent feature vector. The learner-by-representation interaction, sparse concentration of fitted coefficient magnitude, ablation results, and neighbor-retrieval analyses further characterize how that signal is organized. They do not show that the embedding captures a biological liability for treatment resistance or that it improves clinical decisions beyond a simpler structural model.</w:t>
      </w:r>
    </w:p>
    <w:p w14:paraId="3D6DC6A0" w14:textId="77777777" w:rsidR="00FB7D8A" w:rsidRDefault="00000000">
      <w:pPr>
        <w:pStyle w:val="Heading2"/>
      </w:pPr>
      <w:r>
        <w:t>Implications for Validation and Clinical Use</w:t>
      </w:r>
    </w:p>
    <w:p w14:paraId="3769B72D" w14:textId="77777777" w:rsidR="00FB7D8A" w:rsidRDefault="00000000">
      <w:r>
        <w:t>Discrimination near 0.65 is insufficient by itself to justify clinical deployment. The next evaluation should prioritize temporal and multisite external validation with the entire representation and preprocessing pipeline frozen. Performance reporting should include calibration-in-the-large, calibration slope, precision-recall measures at the target prevalence, subgroup calibration and error rates, and decision-curve analysis at clinically credible intervention thresholds. Because the source cohort was case enriched, calibration must be re-estimated in a sampling-representative population before absolute risk estimates are interpreted clinically.</w:t>
      </w:r>
    </w:p>
    <w:p w14:paraId="6DA50506" w14:textId="77777777" w:rsidR="00FB7D8A" w:rsidRDefault="00000000">
      <w:r>
        <w:t>Incremental value should be tested against parsimonious baselines, not only against alternative machine-learning architectures. Relevant comparators include outcome prevalence, age and coded severity, prior medication history, and a compact set of psychiatric-comorbidity and utilization variables. The embedding would have practical value only if it improves transportability, calibration, workflow integration, or net benefit beyond those baselines while retaining reproducibility and auditability. A prespecified external comparison should also test whether the 179 high-magnitude dimensions and the ablation-defined domains remain stable; instability would indicate that the apparent sparse structure is site- or sample-specific.</w:t>
      </w:r>
    </w:p>
    <w:p w14:paraId="6EBEA28D" w14:textId="77777777" w:rsidR="00FB7D8A" w:rsidRDefault="00000000">
      <w:r>
        <w:t xml:space="preserve">Finally, target validation is at least as important as model validation. Chart adjudication and longitudinal symptom measures are needed to quantify how often the treatment-switch phenotype represents </w:t>
      </w:r>
      <w:r>
        <w:lastRenderedPageBreak/>
        <w:t>verified nonresponse rather than intolerance, nonadherence, access barriers, or clinician preference. A higher-specificity outcome requiring documented adequate dose and duration would clarify whether the same representation signal predicts treatment resistance more narrowly defined. Until those analyses are completed, the appropriate use case is research-stage risk stratification and cohort enrichment, not treatment selection or automated clinical decision support.</w:t>
      </w:r>
    </w:p>
    <w:p w14:paraId="226EE04E" w14:textId="77777777" w:rsidR="00FB7D8A" w:rsidRDefault="00000000">
      <w:pPr>
        <w:pStyle w:val="Heading2"/>
      </w:pPr>
      <w:r>
        <w:t>Conclusions</w:t>
      </w:r>
    </w:p>
    <w:p w14:paraId="129FC52A" w14:textId="77777777" w:rsidR="00FB7D8A" w:rsidRDefault="00000000">
      <w:r>
        <w:t>A deterministic narrative embedding and a typed feature vector extracted comparable predictive signal from the same pre-index EHR record, but only when paired with learners suited to their representation geometry. The embedding's advantage was not higher overall discrimination; it was preservation and reorganization of clinically coherent structural information in a dense latent space. In the context of prior structural-EHR studies, the observed ROC AUC of approximately 0.65 is credible but not sufficient for clinical use. The decisive next questions are whether the signal transports across health systems, adds value beyond parsimonious care-history baselines, remains calibrated across subgroups, and predicts symptom-verified inadequate response rather than an access- and practice-dependent treatment trajectory.</w:t>
      </w:r>
    </w:p>
    <w:p w14:paraId="165B91E9" w14:textId="77777777" w:rsidR="00FB7D8A" w:rsidRDefault="00000000">
      <w:r>
        <w:br w:type="page"/>
      </w:r>
    </w:p>
    <w:p w14:paraId="51F94D38" w14:textId="77777777" w:rsidR="00FB7D8A" w:rsidRDefault="00000000">
      <w:pPr>
        <w:pStyle w:val="Heading2"/>
      </w:pPr>
      <w:r>
        <w:lastRenderedPageBreak/>
        <w:t>References Added From the Background Document</w:t>
      </w:r>
    </w:p>
    <w:p w14:paraId="64143250" w14:textId="77777777" w:rsidR="00FB7D8A" w:rsidRDefault="00000000">
      <w:pPr>
        <w:spacing w:after="200"/>
      </w:pPr>
      <w:r>
        <w:t>These entries correspond to provisional citations [25-31] in the integrated discussion. Existing manuscript references [1-24] are not reproduced here.</w:t>
      </w:r>
    </w:p>
    <w:p w14:paraId="75DB0026" w14:textId="77777777" w:rsidR="00FB7D8A" w:rsidRDefault="00000000">
      <w:pPr>
        <w:keepLines/>
        <w:spacing w:line="276" w:lineRule="auto"/>
        <w:ind w:left="403" w:hanging="403"/>
      </w:pPr>
      <w:r>
        <w:t>25. Cepeda MS, Reps M, Fife D, Blacketer C, Stang P, Ryan P. Finding treatment-resistant depression in real-world data: How a data-driven approach compares with expert-based heuristics. Depression and Anxiety. 2017. doi:10.1002/da.22705.</w:t>
      </w:r>
    </w:p>
    <w:p w14:paraId="6DA1B0E1" w14:textId="77777777" w:rsidR="00FB7D8A" w:rsidRDefault="00000000">
      <w:pPr>
        <w:keepLines/>
        <w:spacing w:line="276" w:lineRule="auto"/>
        <w:ind w:left="403" w:hanging="403"/>
      </w:pPr>
      <w:r>
        <w:t>26. Fabbri C, Hagenaars SP, John C, et al. Genetic and clinical characteristics of treatment-resistant depression using primary care records in two UK cohorts. Molecular Psychiatry. 2021. doi:10.1038/s41380-021-01062-9.</w:t>
      </w:r>
    </w:p>
    <w:p w14:paraId="6F0BAA56" w14:textId="77777777" w:rsidR="00FB7D8A" w:rsidRDefault="00000000">
      <w:pPr>
        <w:keepLines/>
        <w:spacing w:line="276" w:lineRule="auto"/>
        <w:ind w:left="403" w:hanging="403"/>
      </w:pPr>
      <w:r>
        <w:t>27. Iveson MH, Ball EL, Lo CWH, et al. Treatment resistant depression in electronic health records: definitions matter. BMC Psychiatry. 2026. doi:10.1186/s12888-026-08085-y.</w:t>
      </w:r>
    </w:p>
    <w:p w14:paraId="2D929629" w14:textId="77777777" w:rsidR="00FB7D8A" w:rsidRDefault="00000000">
      <w:pPr>
        <w:keepLines/>
        <w:spacing w:line="276" w:lineRule="auto"/>
        <w:ind w:left="403" w:hanging="403"/>
      </w:pPr>
      <w:r>
        <w:t>28. Liberman JN, Davis T, Pesa J, et al. Predicting Incident Treatment-Resistant Depression: A Model Designed for Health Systems of Care. Journal of Managed Care and Specialty Pharmacy. 2020. doi:10.18553/jmcp.2020.26.8.987.</w:t>
      </w:r>
    </w:p>
    <w:p w14:paraId="6B97728A" w14:textId="77777777" w:rsidR="00FB7D8A" w:rsidRDefault="00000000">
      <w:pPr>
        <w:keepLines/>
        <w:spacing w:line="276" w:lineRule="auto"/>
        <w:ind w:left="403" w:hanging="403"/>
      </w:pPr>
      <w:r>
        <w:t>29. Lage I, McCoy TH, Perlis RH, Doshi-Velez F. Efficiently identifying individuals at high risk for treatment resistance in major depressive disorder using electronic health records. Journal of Affective Disorders. 2022. doi:10.1016/j.jad.2022.02.046.</w:t>
      </w:r>
    </w:p>
    <w:p w14:paraId="2C121B8F" w14:textId="77777777" w:rsidR="00FB7D8A" w:rsidRDefault="00000000">
      <w:pPr>
        <w:keepLines/>
        <w:spacing w:line="276" w:lineRule="auto"/>
        <w:ind w:left="403" w:hanging="403"/>
      </w:pPr>
      <w:r>
        <w:t>30. Lee DY, Kim N, Park C, et al. Explainable multimodal prediction of treatment-resistance in patients with depression leveraging brain morphometry and natural language processing. Psychiatry Research. 2024. doi:10.1016/j.psychres.2024.115817.</w:t>
      </w:r>
    </w:p>
    <w:p w14:paraId="4DB8075A" w14:textId="77777777" w:rsidR="00FB7D8A" w:rsidRDefault="00000000">
      <w:pPr>
        <w:keepLines/>
        <w:spacing w:line="276" w:lineRule="auto"/>
        <w:ind w:left="403" w:hanging="403"/>
      </w:pPr>
      <w:r>
        <w:t>31. Walsh CG, Ripperger M, McCoy TH, et al. Generalizability of Risk Models for Treatment-Resistant Depression Across Three Health Systems. medRxiv. 2025. Preprint. doi:10.1101/2025.05.21.25328089.</w:t>
      </w:r>
    </w:p>
    <w:sectPr w:rsidR="00FB7D8A"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606961">
    <w:abstractNumId w:val="8"/>
  </w:num>
  <w:num w:numId="2" w16cid:durableId="249588528">
    <w:abstractNumId w:val="6"/>
  </w:num>
  <w:num w:numId="3" w16cid:durableId="764572665">
    <w:abstractNumId w:val="5"/>
  </w:num>
  <w:num w:numId="4" w16cid:durableId="594479986">
    <w:abstractNumId w:val="4"/>
  </w:num>
  <w:num w:numId="5" w16cid:durableId="1070007992">
    <w:abstractNumId w:val="7"/>
  </w:num>
  <w:num w:numId="6" w16cid:durableId="601885208">
    <w:abstractNumId w:val="3"/>
  </w:num>
  <w:num w:numId="7" w16cid:durableId="1147405508">
    <w:abstractNumId w:val="2"/>
  </w:num>
  <w:num w:numId="8" w16cid:durableId="1053114401">
    <w:abstractNumId w:val="1"/>
  </w:num>
  <w:num w:numId="9" w16cid:durableId="1698236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64CB"/>
    <w:rsid w:val="00AA1D8D"/>
    <w:rsid w:val="00B47730"/>
    <w:rsid w:val="00CB0664"/>
    <w:rsid w:val="00F97234"/>
    <w:rsid w:val="00FB7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0C228"/>
  <w14:defaultImageDpi w14:val="300"/>
  <w15:docId w15:val="{4E5B00D8-B160-2447-8682-F042A16A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2040</Words>
  <Characters>13608</Characters>
  <Application>Microsoft Office Word</Application>
  <DocSecurity>0</DocSecurity>
  <Lines>179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TRD EHR Discussion</dc:title>
  <dc:subject>Discussion contextualized with structural EHR literature</dc:subject>
  <dc:creator>Martin P. Paulus</dc:creator>
  <cp:keywords>TRD, EHR, embeddings, prediction, discussion, JMIR</cp:keywords>
  <dc:description>generated by python-docx</dc:description>
  <cp:lastModifiedBy>Martin Paulus</cp:lastModifiedBy>
  <cp:revision>2</cp:revision>
  <dcterms:created xsi:type="dcterms:W3CDTF">2026-09-02T20:52:00Z</dcterms:created>
  <dcterms:modified xsi:type="dcterms:W3CDTF">2026-09-02T20:52:00Z</dcterms:modified>
  <cp:category/>
</cp:coreProperties>
</file>