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6D68E3" w14:textId="3DA5369C" w:rsidR="00891430" w:rsidRPr="00891430" w:rsidRDefault="00891430">
      <w:pPr>
        <w:rPr>
          <w:rFonts w:ascii="Calibri" w:hAnsi="Calibri" w:cs="Calibri"/>
          <w:sz w:val="22"/>
          <w:szCs w:val="22"/>
        </w:rPr>
      </w:pPr>
      <w:r w:rsidRPr="00891430">
        <w:rPr>
          <w:rFonts w:ascii="Calibri" w:hAnsi="Calibri" w:cs="Calibri"/>
          <w:sz w:val="22"/>
          <w:szCs w:val="22"/>
        </w:rPr>
        <w:t>Random Forest Analyses:</w:t>
      </w:r>
    </w:p>
    <w:p w14:paraId="539F3FA6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Below is my assessment of these as </w:t>
      </w: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treatment variables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a causal random forest/GRF analysis. The central issue is whether each variable defines a </w:t>
      </w: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well-timed, manipulable treatment decision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at a clear index date. Several of these are better used as </w:t>
      </w: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baseline covariates, treatment-history features, or decision-node eligibility variables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rather than primary treatment variables.</w:t>
      </w:r>
    </w:p>
    <w:p w14:paraId="1F59A025" w14:textId="77777777" w:rsidR="00891430" w:rsidRPr="00891430" w:rsidRDefault="00891430" w:rsidP="008914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Overall recommendation</w:t>
      </w:r>
    </w:p>
    <w:p w14:paraId="4C6160F1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For causal random forest, I would not use all 11 as parallel “treatments.” I would structure the analysis around </w:t>
      </w: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specific target-trial decision points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4ED0CB8D" w14:textId="77777777" w:rsidR="00891430" w:rsidRPr="00891430" w:rsidRDefault="00891430" w:rsidP="00891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Initial antidepressant selection at index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Compare SSRI vs SNRI vs bupropion vs mirtazapine vs vortioxetine, preferably as mutually exclusive treatment arms or pairwise active-comparator contrasts.</w:t>
      </w:r>
    </w:p>
    <w:p w14:paraId="3B1DBD6F" w14:textId="77777777" w:rsidR="00891430" w:rsidRPr="00891430" w:rsidRDefault="00891430" w:rsidP="00891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Adequate exposure / treatment persistence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Analyze as a secondary per-protocol or landmark analysis, not as the primary baseline treatment, because “6-week adequate trial” can induce immortal time bias.</w:t>
      </w:r>
    </w:p>
    <w:p w14:paraId="7EF923A9" w14:textId="77777777" w:rsidR="00891430" w:rsidRPr="00891430" w:rsidRDefault="00891430" w:rsidP="00891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Augmentation decision after nonresponse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Treat augmentation as a separate second-stage decision, not as a baseline treatment.</w:t>
      </w:r>
    </w:p>
    <w:p w14:paraId="36DA1084" w14:textId="77777777" w:rsidR="00891430" w:rsidRPr="00891430" w:rsidRDefault="00891430" w:rsidP="008914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Concomitant medication burden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Benzodiazepines, hypnotics, NSAIDs, and polypharmacy are usually better as baseline covariates or secondary treatment questions, unless the estimand is explicitly about co-prescribing at index.</w:t>
      </w:r>
    </w:p>
    <w:p w14:paraId="66B87709" w14:textId="77777777" w:rsidR="00891430" w:rsidRPr="00891430" w:rsidRDefault="002755C1" w:rsidP="00891430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755C1">
        <w:rPr>
          <w:rFonts w:ascii="Calibri" w:eastAsia="Times New Roman" w:hAnsi="Calibri" w:cs="Calibri"/>
          <w:noProof/>
          <w:kern w:val="0"/>
          <w:sz w:val="22"/>
          <w:szCs w:val="22"/>
        </w:rPr>
        <w:pict w14:anchorId="5328FE6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DBB815D" w14:textId="77777777" w:rsidR="00891430" w:rsidRPr="00891430" w:rsidRDefault="00891430" w:rsidP="008914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Variable-by-variable assessment</w:t>
      </w:r>
    </w:p>
    <w:tbl>
      <w:tblPr>
        <w:tblStyle w:val="ListTable7Colorful"/>
        <w:tblW w:w="0" w:type="auto"/>
        <w:tblLook w:val="04A0" w:firstRow="1" w:lastRow="0" w:firstColumn="1" w:lastColumn="0" w:noHBand="0" w:noVBand="1"/>
      </w:tblPr>
      <w:tblGrid>
        <w:gridCol w:w="2086"/>
        <w:gridCol w:w="1641"/>
        <w:gridCol w:w="4189"/>
        <w:gridCol w:w="2884"/>
      </w:tblGrid>
      <w:tr w:rsidR="00891430" w:rsidRPr="00891430" w14:paraId="1A6E9FE2" w14:textId="77777777" w:rsidTr="00891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shd w:val="clear" w:color="auto" w:fill="auto"/>
            <w:hideMark/>
          </w:tcPr>
          <w:p w14:paraId="2D5EB89C" w14:textId="77777777" w:rsidR="00891430" w:rsidRPr="00891430" w:rsidRDefault="00891430" w:rsidP="00891430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0" w:type="auto"/>
            <w:shd w:val="clear" w:color="auto" w:fill="auto"/>
            <w:hideMark/>
          </w:tcPr>
          <w:p w14:paraId="25DCFAC3" w14:textId="77777777" w:rsidR="00891430" w:rsidRPr="00891430" w:rsidRDefault="00891430" w:rsidP="0089143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Suitability as CRF treatment</w:t>
            </w:r>
          </w:p>
        </w:tc>
        <w:tc>
          <w:tcPr>
            <w:tcW w:w="0" w:type="auto"/>
            <w:shd w:val="clear" w:color="auto" w:fill="auto"/>
            <w:hideMark/>
          </w:tcPr>
          <w:p w14:paraId="298CC642" w14:textId="77777777" w:rsidR="00891430" w:rsidRPr="00891430" w:rsidRDefault="00891430" w:rsidP="008914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Main concern</w:t>
            </w:r>
          </w:p>
        </w:tc>
        <w:tc>
          <w:tcPr>
            <w:tcW w:w="0" w:type="auto"/>
            <w:shd w:val="clear" w:color="auto" w:fill="auto"/>
            <w:hideMark/>
          </w:tcPr>
          <w:p w14:paraId="189EAD64" w14:textId="77777777" w:rsidR="00891430" w:rsidRPr="00891430" w:rsidRDefault="00891430" w:rsidP="008914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Recommended role</w:t>
            </w:r>
          </w:p>
        </w:tc>
      </w:tr>
      <w:tr w:rsidR="00891430" w:rsidRPr="00891430" w14:paraId="673462E6" w14:textId="77777777" w:rsidTr="00891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20F870AD" w14:textId="77777777" w:rsidR="00891430" w:rsidRPr="00891430" w:rsidRDefault="00891430" w:rsidP="0089143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polypharmacy — any medications active at index</w:t>
            </w:r>
          </w:p>
        </w:tc>
        <w:tc>
          <w:tcPr>
            <w:tcW w:w="0" w:type="auto"/>
            <w:shd w:val="clear" w:color="auto" w:fill="auto"/>
            <w:hideMark/>
          </w:tcPr>
          <w:p w14:paraId="760772F0" w14:textId="77777777" w:rsidR="00891430" w:rsidRPr="00891430" w:rsidRDefault="00891430" w:rsidP="008914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Weak as primary treatment</w:t>
            </w:r>
          </w:p>
        </w:tc>
        <w:tc>
          <w:tcPr>
            <w:tcW w:w="0" w:type="auto"/>
            <w:shd w:val="clear" w:color="auto" w:fill="auto"/>
            <w:hideMark/>
          </w:tcPr>
          <w:p w14:paraId="16D15614" w14:textId="77777777" w:rsidR="00891430" w:rsidRPr="00891430" w:rsidRDefault="00891430" w:rsidP="00891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Too nonspecific; likely proxy for illness burden, comorbidity, healthcare utilization, and complexity</w:t>
            </w:r>
          </w:p>
        </w:tc>
        <w:tc>
          <w:tcPr>
            <w:tcW w:w="0" w:type="auto"/>
            <w:shd w:val="clear" w:color="auto" w:fill="auto"/>
            <w:hideMark/>
          </w:tcPr>
          <w:p w14:paraId="77DFFE86" w14:textId="77777777" w:rsidR="00891430" w:rsidRPr="00891430" w:rsidRDefault="00891430" w:rsidP="00891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Use as </w:t>
            </w:r>
            <w:r w:rsidRPr="0089143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baseline covariate</w:t>
            </w: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, stratifier, or effect modifier. Consider medication count or burden score rather than binary flag.</w:t>
            </w:r>
          </w:p>
        </w:tc>
      </w:tr>
      <w:tr w:rsidR="00891430" w:rsidRPr="00891430" w14:paraId="45EC0738" w14:textId="77777777" w:rsidTr="008914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5FC2F3EF" w14:textId="77777777" w:rsidR="00891430" w:rsidRPr="00891430" w:rsidRDefault="00891430" w:rsidP="0089143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trials_bupropion</w:t>
            </w:r>
          </w:p>
        </w:tc>
        <w:tc>
          <w:tcPr>
            <w:tcW w:w="0" w:type="auto"/>
            <w:hideMark/>
          </w:tcPr>
          <w:p w14:paraId="5515049E" w14:textId="77777777" w:rsidR="00891430" w:rsidRPr="00891430" w:rsidRDefault="00891430" w:rsidP="008914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Moderate to strong only if defined as index treatment initiation</w:t>
            </w:r>
          </w:p>
        </w:tc>
        <w:tc>
          <w:tcPr>
            <w:tcW w:w="0" w:type="auto"/>
            <w:hideMark/>
          </w:tcPr>
          <w:p w14:paraId="225F17B6" w14:textId="77777777" w:rsidR="00891430" w:rsidRPr="00891430" w:rsidRDefault="00891430" w:rsidP="00891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If based on any future 6-week trial after index, it creates immortal time bias. If prior history, it is not treatment but treatment history.</w:t>
            </w:r>
          </w:p>
        </w:tc>
        <w:tc>
          <w:tcPr>
            <w:tcW w:w="0" w:type="auto"/>
            <w:hideMark/>
          </w:tcPr>
          <w:p w14:paraId="351D73B0" w14:textId="77777777" w:rsidR="00891430" w:rsidRPr="00891430" w:rsidRDefault="00891430" w:rsidP="00891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Use as treatment only if “bupropion initiated at index.” Otherwise use as baseline treatment-history covariate.</w:t>
            </w:r>
          </w:p>
        </w:tc>
      </w:tr>
      <w:tr w:rsidR="00891430" w:rsidRPr="00891430" w14:paraId="4A074B30" w14:textId="77777777" w:rsidTr="00891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0ADDD8D9" w14:textId="77777777" w:rsidR="00891430" w:rsidRPr="00891430" w:rsidRDefault="00891430" w:rsidP="0089143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trials_mirtazapine</w:t>
            </w:r>
          </w:p>
        </w:tc>
        <w:tc>
          <w:tcPr>
            <w:tcW w:w="0" w:type="auto"/>
            <w:shd w:val="clear" w:color="auto" w:fill="auto"/>
            <w:hideMark/>
          </w:tcPr>
          <w:p w14:paraId="7BD4A6B7" w14:textId="77777777" w:rsidR="00891430" w:rsidRPr="00891430" w:rsidRDefault="00891430" w:rsidP="008914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Moderate</w:t>
            </w:r>
          </w:p>
        </w:tc>
        <w:tc>
          <w:tcPr>
            <w:tcW w:w="0" w:type="auto"/>
            <w:shd w:val="clear" w:color="auto" w:fill="auto"/>
            <w:hideMark/>
          </w:tcPr>
          <w:p w14:paraId="280CA8ED" w14:textId="77777777" w:rsidR="00891430" w:rsidRPr="00891430" w:rsidRDefault="00891430" w:rsidP="00891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Same timing issue. Also strong confounding by insomnia, weight loss, appetite, anxiety, frailty, and depression severity.</w:t>
            </w:r>
          </w:p>
        </w:tc>
        <w:tc>
          <w:tcPr>
            <w:tcW w:w="0" w:type="auto"/>
            <w:shd w:val="clear" w:color="auto" w:fill="auto"/>
            <w:hideMark/>
          </w:tcPr>
          <w:p w14:paraId="08B95BE6" w14:textId="77777777" w:rsidR="00891430" w:rsidRPr="00891430" w:rsidRDefault="00891430" w:rsidP="00891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Good candidate for active-comparator analysis if initiated at index; otherwise covariate.</w:t>
            </w:r>
          </w:p>
        </w:tc>
      </w:tr>
      <w:tr w:rsidR="00891430" w:rsidRPr="00891430" w14:paraId="719467FC" w14:textId="77777777" w:rsidTr="008914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14DC58F7" w14:textId="77777777" w:rsidR="00891430" w:rsidRPr="00891430" w:rsidRDefault="00891430" w:rsidP="0089143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trials_snri</w:t>
            </w:r>
          </w:p>
        </w:tc>
        <w:tc>
          <w:tcPr>
            <w:tcW w:w="0" w:type="auto"/>
            <w:hideMark/>
          </w:tcPr>
          <w:p w14:paraId="644DBE1D" w14:textId="77777777" w:rsidR="00891430" w:rsidRPr="00891430" w:rsidRDefault="00891430" w:rsidP="008914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Strong candidate</w:t>
            </w:r>
          </w:p>
        </w:tc>
        <w:tc>
          <w:tcPr>
            <w:tcW w:w="0" w:type="auto"/>
            <w:hideMark/>
          </w:tcPr>
          <w:p w14:paraId="15835C31" w14:textId="77777777" w:rsidR="00891430" w:rsidRPr="00891430" w:rsidRDefault="00891430" w:rsidP="00891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Needs active comparator and clear new-user definition. Confounding by pain, anxiety, prior SSRI failure, and severity.</w:t>
            </w:r>
          </w:p>
        </w:tc>
        <w:tc>
          <w:tcPr>
            <w:tcW w:w="0" w:type="auto"/>
            <w:hideMark/>
          </w:tcPr>
          <w:p w14:paraId="6B748EBA" w14:textId="77777777" w:rsidR="00891430" w:rsidRPr="00891430" w:rsidRDefault="00891430" w:rsidP="00891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Good treatment arm for initial medication choice. Compare against SSRI or other active classes.</w:t>
            </w:r>
          </w:p>
        </w:tc>
      </w:tr>
      <w:tr w:rsidR="00891430" w:rsidRPr="00891430" w14:paraId="5D4B762B" w14:textId="77777777" w:rsidTr="00891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65661678" w14:textId="77777777" w:rsidR="00891430" w:rsidRPr="00891430" w:rsidRDefault="00891430" w:rsidP="0089143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trials_ssri</w:t>
            </w:r>
          </w:p>
        </w:tc>
        <w:tc>
          <w:tcPr>
            <w:tcW w:w="0" w:type="auto"/>
            <w:shd w:val="clear" w:color="auto" w:fill="auto"/>
            <w:hideMark/>
          </w:tcPr>
          <w:p w14:paraId="1878F767" w14:textId="77777777" w:rsidR="00891430" w:rsidRPr="00891430" w:rsidRDefault="00891430" w:rsidP="008914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Strong candidate</w:t>
            </w:r>
          </w:p>
        </w:tc>
        <w:tc>
          <w:tcPr>
            <w:tcW w:w="0" w:type="auto"/>
            <w:shd w:val="clear" w:color="auto" w:fill="auto"/>
            <w:hideMark/>
          </w:tcPr>
          <w:p w14:paraId="73B7DCEB" w14:textId="77777777" w:rsidR="00891430" w:rsidRPr="00891430" w:rsidRDefault="00891430" w:rsidP="00891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Often default first-line class, so comparison group composition matters.</w:t>
            </w:r>
          </w:p>
        </w:tc>
        <w:tc>
          <w:tcPr>
            <w:tcW w:w="0" w:type="auto"/>
            <w:shd w:val="clear" w:color="auto" w:fill="auto"/>
            <w:hideMark/>
          </w:tcPr>
          <w:p w14:paraId="6FA30D8B" w14:textId="77777777" w:rsidR="00891430" w:rsidRPr="00891430" w:rsidRDefault="00891430" w:rsidP="00891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Good reference arm or active treatment arm. Prefer mutually exclusive class assignment at index.</w:t>
            </w:r>
          </w:p>
        </w:tc>
      </w:tr>
      <w:tr w:rsidR="00891430" w:rsidRPr="00891430" w14:paraId="343A5E78" w14:textId="77777777" w:rsidTr="008914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33014662" w14:textId="77777777" w:rsidR="00891430" w:rsidRPr="00891430" w:rsidRDefault="00891430" w:rsidP="0089143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lastRenderedPageBreak/>
              <w:t>trials_vortioxetine</w:t>
            </w:r>
          </w:p>
        </w:tc>
        <w:tc>
          <w:tcPr>
            <w:tcW w:w="0" w:type="auto"/>
            <w:hideMark/>
          </w:tcPr>
          <w:p w14:paraId="52F5F39E" w14:textId="77777777" w:rsidR="00891430" w:rsidRPr="00891430" w:rsidRDefault="00891430" w:rsidP="008914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Moderate but likely sample-size limited</w:t>
            </w:r>
          </w:p>
        </w:tc>
        <w:tc>
          <w:tcPr>
            <w:tcW w:w="0" w:type="auto"/>
            <w:hideMark/>
          </w:tcPr>
          <w:p w14:paraId="408FE252" w14:textId="77777777" w:rsidR="00891430" w:rsidRPr="00891430" w:rsidRDefault="00891430" w:rsidP="00891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Often later-line, expensive, selected population; likely positivity/overlap problems.</w:t>
            </w:r>
          </w:p>
        </w:tc>
        <w:tc>
          <w:tcPr>
            <w:tcW w:w="0" w:type="auto"/>
            <w:hideMark/>
          </w:tcPr>
          <w:p w14:paraId="6AEA292C" w14:textId="77777777" w:rsidR="00891430" w:rsidRPr="00891430" w:rsidRDefault="00891430" w:rsidP="00891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Include only if sufficient N and overlap. Otherwise analyze descriptively or as later-line treatment subgroup.</w:t>
            </w:r>
          </w:p>
        </w:tc>
      </w:tr>
      <w:tr w:rsidR="00891430" w:rsidRPr="00891430" w14:paraId="04EACA2D" w14:textId="77777777" w:rsidTr="00891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3E46E135" w14:textId="77777777" w:rsidR="00891430" w:rsidRPr="00891430" w:rsidRDefault="00891430" w:rsidP="0089143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adequate_trial</w:t>
            </w:r>
          </w:p>
        </w:tc>
        <w:tc>
          <w:tcPr>
            <w:tcW w:w="0" w:type="auto"/>
            <w:shd w:val="clear" w:color="auto" w:fill="auto"/>
            <w:hideMark/>
          </w:tcPr>
          <w:p w14:paraId="403A9043" w14:textId="77777777" w:rsidR="00891430" w:rsidRPr="00891430" w:rsidRDefault="00891430" w:rsidP="008914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Weak as baseline treatment; useful as landmark variable</w:t>
            </w:r>
          </w:p>
        </w:tc>
        <w:tc>
          <w:tcPr>
            <w:tcW w:w="0" w:type="auto"/>
            <w:shd w:val="clear" w:color="auto" w:fill="auto"/>
            <w:hideMark/>
          </w:tcPr>
          <w:p w14:paraId="21BD244C" w14:textId="77777777" w:rsidR="00891430" w:rsidRPr="00891430" w:rsidRDefault="00891430" w:rsidP="00891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Requires observing 6 weeks of exposure, which can bias estimates if outcomes occur during that window. Composite is clinically broad and mechanistically nonspecific.</w:t>
            </w:r>
          </w:p>
        </w:tc>
        <w:tc>
          <w:tcPr>
            <w:tcW w:w="0" w:type="auto"/>
            <w:shd w:val="clear" w:color="auto" w:fill="auto"/>
            <w:hideMark/>
          </w:tcPr>
          <w:p w14:paraId="702635CC" w14:textId="77777777" w:rsidR="00891430" w:rsidRPr="00891430" w:rsidRDefault="00891430" w:rsidP="00891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Use for </w:t>
            </w:r>
            <w:r w:rsidRPr="0089143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landmark/per-protocol sensitivity analysis</w:t>
            </w: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beginning after week 6, or as treatment-history covariate if adequate trials occurred before index.</w:t>
            </w:r>
          </w:p>
        </w:tc>
      </w:tr>
      <w:tr w:rsidR="00891430" w:rsidRPr="00891430" w14:paraId="54354AD9" w14:textId="77777777" w:rsidTr="008914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3E5AC596" w14:textId="77777777" w:rsidR="00891430" w:rsidRPr="00891430" w:rsidRDefault="00891430" w:rsidP="0089143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augmentation</w:t>
            </w:r>
          </w:p>
        </w:tc>
        <w:tc>
          <w:tcPr>
            <w:tcW w:w="0" w:type="auto"/>
            <w:hideMark/>
          </w:tcPr>
          <w:p w14:paraId="3B5AEFE6" w14:textId="77777777" w:rsidR="00891430" w:rsidRPr="00891430" w:rsidRDefault="00891430" w:rsidP="008914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Poor as baseline treatment; strong as second-stage treatment</w:t>
            </w:r>
          </w:p>
        </w:tc>
        <w:tc>
          <w:tcPr>
            <w:tcW w:w="0" w:type="auto"/>
            <w:hideMark/>
          </w:tcPr>
          <w:p w14:paraId="2AB20D51" w14:textId="77777777" w:rsidR="00891430" w:rsidRPr="00891430" w:rsidRDefault="00891430" w:rsidP="00891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Usually occurs after nonresponse or clinical deterioration; major time-varying confounding and collider risk.</w:t>
            </w:r>
          </w:p>
        </w:tc>
        <w:tc>
          <w:tcPr>
            <w:tcW w:w="0" w:type="auto"/>
            <w:hideMark/>
          </w:tcPr>
          <w:p w14:paraId="0BB5B033" w14:textId="77777777" w:rsidR="00891430" w:rsidRPr="00891430" w:rsidRDefault="00891430" w:rsidP="00891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Define a separate decision point after inadequate response: augment vs switch vs continue.</w:t>
            </w:r>
          </w:p>
        </w:tc>
      </w:tr>
      <w:tr w:rsidR="00891430" w:rsidRPr="00891430" w14:paraId="646C4873" w14:textId="77777777" w:rsidTr="00891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1B855B20" w14:textId="77777777" w:rsidR="00891430" w:rsidRPr="00891430" w:rsidRDefault="00891430" w:rsidP="0089143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benzo</w:t>
            </w:r>
          </w:p>
        </w:tc>
        <w:tc>
          <w:tcPr>
            <w:tcW w:w="0" w:type="auto"/>
            <w:shd w:val="clear" w:color="auto" w:fill="auto"/>
            <w:hideMark/>
          </w:tcPr>
          <w:p w14:paraId="66058A81" w14:textId="77777777" w:rsidR="00891430" w:rsidRPr="00891430" w:rsidRDefault="00891430" w:rsidP="008914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Moderate as adjunctive co-treatment</w:t>
            </w:r>
          </w:p>
        </w:tc>
        <w:tc>
          <w:tcPr>
            <w:tcW w:w="0" w:type="auto"/>
            <w:shd w:val="clear" w:color="auto" w:fill="auto"/>
            <w:hideMark/>
          </w:tcPr>
          <w:p w14:paraId="7D9F5352" w14:textId="77777777" w:rsidR="00891430" w:rsidRPr="00891430" w:rsidRDefault="00891430" w:rsidP="00891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Confounded by anxiety, agitation, insomnia, substance use risk, and acute distress.</w:t>
            </w:r>
          </w:p>
        </w:tc>
        <w:tc>
          <w:tcPr>
            <w:tcW w:w="0" w:type="auto"/>
            <w:shd w:val="clear" w:color="auto" w:fill="auto"/>
            <w:hideMark/>
          </w:tcPr>
          <w:p w14:paraId="644C7689" w14:textId="77777777" w:rsidR="00891430" w:rsidRPr="00891430" w:rsidRDefault="00891430" w:rsidP="00891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Use as baseline covariate or separate co-prescribing treatment question: AD + benzo vs AD alone at index.</w:t>
            </w:r>
          </w:p>
        </w:tc>
      </w:tr>
      <w:tr w:rsidR="00891430" w:rsidRPr="00891430" w14:paraId="0B743F64" w14:textId="77777777" w:rsidTr="008914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29244616" w14:textId="77777777" w:rsidR="00891430" w:rsidRPr="00891430" w:rsidRDefault="00891430" w:rsidP="0089143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hypnotics</w:t>
            </w:r>
          </w:p>
        </w:tc>
        <w:tc>
          <w:tcPr>
            <w:tcW w:w="0" w:type="auto"/>
            <w:hideMark/>
          </w:tcPr>
          <w:p w14:paraId="6FA17974" w14:textId="77777777" w:rsidR="00891430" w:rsidRPr="00891430" w:rsidRDefault="00891430" w:rsidP="008914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Weak to moderate</w:t>
            </w:r>
          </w:p>
        </w:tc>
        <w:tc>
          <w:tcPr>
            <w:tcW w:w="0" w:type="auto"/>
            <w:hideMark/>
          </w:tcPr>
          <w:p w14:paraId="20BD5193" w14:textId="77777777" w:rsidR="00891430" w:rsidRPr="00891430" w:rsidRDefault="00891430" w:rsidP="00891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Strong proxy for insomnia, severity, anxiety, age, fall risk, and sedative burden.</w:t>
            </w:r>
          </w:p>
        </w:tc>
        <w:tc>
          <w:tcPr>
            <w:tcW w:w="0" w:type="auto"/>
            <w:hideMark/>
          </w:tcPr>
          <w:p w14:paraId="19EF469A" w14:textId="77777777" w:rsidR="00891430" w:rsidRPr="00891430" w:rsidRDefault="00891430" w:rsidP="008914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Usually covariate. Could be secondary treatment if outcome relates to sleep, persistence, hospitalization, or safety.</w:t>
            </w:r>
          </w:p>
        </w:tc>
      </w:tr>
      <w:tr w:rsidR="00891430" w:rsidRPr="00891430" w14:paraId="27B57C8C" w14:textId="77777777" w:rsidTr="00891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05B090B6" w14:textId="77777777" w:rsidR="00891430" w:rsidRPr="00891430" w:rsidRDefault="00891430" w:rsidP="00891430">
            <w:pP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nsaid</w:t>
            </w:r>
          </w:p>
        </w:tc>
        <w:tc>
          <w:tcPr>
            <w:tcW w:w="0" w:type="auto"/>
            <w:shd w:val="clear" w:color="auto" w:fill="auto"/>
            <w:hideMark/>
          </w:tcPr>
          <w:p w14:paraId="61AC3E21" w14:textId="77777777" w:rsidR="00891430" w:rsidRPr="00891430" w:rsidRDefault="00891430" w:rsidP="008914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Weak as psychiatric treatment variable</w:t>
            </w:r>
          </w:p>
        </w:tc>
        <w:tc>
          <w:tcPr>
            <w:tcW w:w="0" w:type="auto"/>
            <w:shd w:val="clear" w:color="auto" w:fill="auto"/>
            <w:hideMark/>
          </w:tcPr>
          <w:p w14:paraId="27D851AE" w14:textId="77777777" w:rsidR="00891430" w:rsidRPr="00891430" w:rsidRDefault="00891430" w:rsidP="00891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NSAID use mainly indexes pain/inflammation/comorbidity; not a clear antidepressant treatment decision.</w:t>
            </w:r>
          </w:p>
        </w:tc>
        <w:tc>
          <w:tcPr>
            <w:tcW w:w="0" w:type="auto"/>
            <w:shd w:val="clear" w:color="auto" w:fill="auto"/>
            <w:hideMark/>
          </w:tcPr>
          <w:p w14:paraId="30C243F3" w14:textId="77777777" w:rsidR="00891430" w:rsidRPr="00891430" w:rsidRDefault="00891430" w:rsidP="008914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891430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Use as covariate or possible negative-control/sensitivity variable, not primary treatment.</w:t>
            </w:r>
          </w:p>
        </w:tc>
      </w:tr>
    </w:tbl>
    <w:p w14:paraId="7877D455" w14:textId="77777777" w:rsidR="00891430" w:rsidRPr="00891430" w:rsidRDefault="002755C1" w:rsidP="00891430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755C1">
        <w:rPr>
          <w:rFonts w:ascii="Calibri" w:eastAsia="Times New Roman" w:hAnsi="Calibri" w:cs="Calibri"/>
          <w:noProof/>
          <w:kern w:val="0"/>
          <w:sz w:val="22"/>
          <w:szCs w:val="22"/>
        </w:rPr>
        <w:pict w14:anchorId="63D8D89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819BA0A" w14:textId="77777777" w:rsidR="00891430" w:rsidRPr="00891430" w:rsidRDefault="00891430" w:rsidP="008914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Most defensible primary treatment variables</w:t>
      </w:r>
    </w:p>
    <w:p w14:paraId="7E02E087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For the main CRF analysis, I would prioritize:</w:t>
      </w:r>
    </w:p>
    <w:p w14:paraId="4F6CA583" w14:textId="77777777" w:rsidR="00891430" w:rsidRPr="00891430" w:rsidRDefault="00891430" w:rsidP="0089143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Tier 1: primary treatment candidates</w:t>
      </w:r>
    </w:p>
    <w:p w14:paraId="16165FD8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These are closest to real clinical treatment decisions:</w:t>
      </w:r>
    </w:p>
    <w:p w14:paraId="73679F5B" w14:textId="77777777" w:rsidR="00891430" w:rsidRPr="00891430" w:rsidRDefault="00891430" w:rsidP="00891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SSRI initiation at index</w:t>
      </w:r>
    </w:p>
    <w:p w14:paraId="6959679B" w14:textId="77777777" w:rsidR="00891430" w:rsidRPr="00891430" w:rsidRDefault="00891430" w:rsidP="00891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SNRI initiation at index</w:t>
      </w:r>
    </w:p>
    <w:p w14:paraId="25E8A7C3" w14:textId="77777777" w:rsidR="00891430" w:rsidRPr="00891430" w:rsidRDefault="00891430" w:rsidP="00891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Bupropion initiation at index</w:t>
      </w:r>
    </w:p>
    <w:p w14:paraId="6978A061" w14:textId="77777777" w:rsidR="00891430" w:rsidRPr="00891430" w:rsidRDefault="00891430" w:rsidP="00891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Mirtazapine initiation at index</w:t>
      </w:r>
    </w:p>
    <w:p w14:paraId="53ADA073" w14:textId="77777777" w:rsidR="00891430" w:rsidRPr="00891430" w:rsidRDefault="00891430" w:rsidP="008914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Vortioxetine initiation at index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only if sample size and overlap are adequate</w:t>
      </w:r>
    </w:p>
    <w:p w14:paraId="46F1353E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 cleanest design is not “any trial ever,” but:</w:t>
      </w:r>
    </w:p>
    <w:p w14:paraId="2E9460B8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Among patients with a new or recurrent MDD treatment episode, compare antidepressant class initiated within a short grace window after index, using baseline covariates measured before treatment assignment.</w:t>
      </w:r>
    </w:p>
    <w:p w14:paraId="0D4F3A7B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This supports a clinically meaningful estimand: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Which patients benefit more or less from one antidepressant class versus another?</w:t>
      </w:r>
    </w:p>
    <w:p w14:paraId="338326AC" w14:textId="77777777" w:rsidR="00891430" w:rsidRPr="00891430" w:rsidRDefault="002755C1" w:rsidP="00891430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755C1">
        <w:rPr>
          <w:rFonts w:ascii="Calibri" w:eastAsia="Times New Roman" w:hAnsi="Calibri" w:cs="Calibri"/>
          <w:noProof/>
          <w:kern w:val="0"/>
          <w:sz w:val="22"/>
          <w:szCs w:val="22"/>
        </w:rPr>
        <w:lastRenderedPageBreak/>
        <w:pict w14:anchorId="0C03FDF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96F71D8" w14:textId="77777777" w:rsidR="00891430" w:rsidRPr="00891430" w:rsidRDefault="00891430" w:rsidP="008914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Variables I would not use as primary treatments</w:t>
      </w:r>
    </w:p>
    <w:p w14:paraId="536F51BF" w14:textId="77777777" w:rsidR="00891430" w:rsidRPr="00891430" w:rsidRDefault="00891430" w:rsidP="0089143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polypharmacy</w:t>
      </w:r>
    </w:p>
    <w:p w14:paraId="709FE3E6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This is not a clean treatment. “Any active medication” is too broad. It bundles antihypertensives, diabetes medications, pain medications, psychotropics, sedatives, anticholinergics, and other exposures with very different implications.</w:t>
      </w:r>
    </w:p>
    <w:p w14:paraId="40F6F4C0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Better versions:</w:t>
      </w:r>
    </w:p>
    <w:p w14:paraId="5D184FE0" w14:textId="77777777" w:rsidR="00891430" w:rsidRPr="00891430" w:rsidRDefault="00891430" w:rsidP="00891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total active medication count</w:t>
      </w:r>
    </w:p>
    <w:p w14:paraId="08BD3452" w14:textId="77777777" w:rsidR="00891430" w:rsidRPr="00891430" w:rsidRDefault="00891430" w:rsidP="00891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number of active psychotropics</w:t>
      </w:r>
    </w:p>
    <w:p w14:paraId="5D8CEF80" w14:textId="77777777" w:rsidR="00891430" w:rsidRPr="00891430" w:rsidRDefault="00891430" w:rsidP="00891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sedative burden</w:t>
      </w:r>
    </w:p>
    <w:p w14:paraId="02CCE6CF" w14:textId="77777777" w:rsidR="00891430" w:rsidRPr="00891430" w:rsidRDefault="00891430" w:rsidP="00891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anticholinergic burden</w:t>
      </w:r>
    </w:p>
    <w:p w14:paraId="09BF367E" w14:textId="77777777" w:rsidR="00891430" w:rsidRPr="00891430" w:rsidRDefault="00891430" w:rsidP="00891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antidepressant monotherapy vs antidepressant polytherapy</w:t>
      </w:r>
    </w:p>
    <w:p w14:paraId="079A4876" w14:textId="77777777" w:rsidR="00891430" w:rsidRPr="00891430" w:rsidRDefault="00891430" w:rsidP="008914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psychiatric polypharmacy vs non-polypharmacy</w:t>
      </w:r>
    </w:p>
    <w:p w14:paraId="44DA8251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Even then, I would treat these mainly as </w:t>
      </w: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baseline confounding and effect-modification variables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not primary treatment variables.</w:t>
      </w:r>
    </w:p>
    <w:p w14:paraId="0DC6357F" w14:textId="77777777" w:rsidR="00891430" w:rsidRPr="00891430" w:rsidRDefault="00891430" w:rsidP="0089143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adequate_trial</w:t>
      </w:r>
    </w:p>
    <w:p w14:paraId="07FF1472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This is clinically important but causally dangerous if defined using post-index follow-up. A patient can only be labeled as having an “adequate 6-week trial” if they survived, remained observed, and did not discontinue early. That creates </w:t>
      </w: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immortal time / adherence bias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5FBFFB94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Better use:</w:t>
      </w:r>
    </w:p>
    <w:p w14:paraId="6323565F" w14:textId="77777777" w:rsidR="00891430" w:rsidRPr="00891430" w:rsidRDefault="00891430" w:rsidP="00891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Primary intent-to-treat treatment: medication class prescribed/dispensed at index.</w:t>
      </w:r>
    </w:p>
    <w:p w14:paraId="5DB57325" w14:textId="77777777" w:rsidR="00891430" w:rsidRPr="00891430" w:rsidRDefault="00891430" w:rsidP="00891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Secondary landmark analysis: among patients still observed at 6 weeks, compare those with adequate exposure vs not, with outcome beginning after week 6.</w:t>
      </w:r>
    </w:p>
    <w:p w14:paraId="150F3D38" w14:textId="77777777" w:rsidR="00891430" w:rsidRPr="00891430" w:rsidRDefault="00891430" w:rsidP="008914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Sensitivity analysis using inverse probability of censoring or treatment persistence weights.</w:t>
      </w:r>
    </w:p>
    <w:p w14:paraId="04AC3A9B" w14:textId="77777777" w:rsidR="00891430" w:rsidRPr="00891430" w:rsidRDefault="00891430" w:rsidP="0089143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augmentation</w:t>
      </w:r>
    </w:p>
    <w:p w14:paraId="5E50F4B2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Augmentation should be analyzed as a </w:t>
      </w: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later decision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not a baseline variable. It is usually triggered by nonresponse, worsening, partial response, insomnia, agitation, or clinician concern. If treated as a simple yes/no exposure from baseline, CRF will mostly learn who was severe enough to receive augmentation, not the causal effect of augmentation.</w:t>
      </w:r>
    </w:p>
    <w:p w14:paraId="62C826D4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Better target trial:</w:t>
      </w:r>
    </w:p>
    <w:p w14:paraId="33868EE0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Among patients who completed an initial adequate antidepressant trial and did not clearly respond, compare augmentation within 14–30 days versus switching versus continuing monotherapy.</w:t>
      </w:r>
    </w:p>
    <w:p w14:paraId="4C23E484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Covariates should be measured up to the augmentation decision point, not after.</w:t>
      </w:r>
    </w:p>
    <w:p w14:paraId="18027E30" w14:textId="77777777" w:rsidR="00891430" w:rsidRPr="00891430" w:rsidRDefault="002755C1" w:rsidP="00891430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755C1">
        <w:rPr>
          <w:rFonts w:ascii="Calibri" w:eastAsia="Times New Roman" w:hAnsi="Calibri" w:cs="Calibri"/>
          <w:noProof/>
          <w:kern w:val="0"/>
          <w:sz w:val="22"/>
          <w:szCs w:val="22"/>
        </w:rPr>
        <w:pict w14:anchorId="3D8DDA8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2AFAFEF" w14:textId="77777777" w:rsidR="00891430" w:rsidRPr="00891430" w:rsidRDefault="00891430" w:rsidP="008914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Recommended target-trial structure</w:t>
      </w:r>
    </w:p>
    <w:p w14:paraId="18FD3C04" w14:textId="77777777" w:rsidR="00891430" w:rsidRPr="00891430" w:rsidRDefault="00891430" w:rsidP="0089143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Target Trial 1: Initial antidepressant class selection</w:t>
      </w:r>
    </w:p>
    <w:p w14:paraId="45F43746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lastRenderedPageBreak/>
        <w:t>Population: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Patients with MDD treatment episode, no active antidepressant in prior washout window, eligible for outpatient pharmacotherapy.</w:t>
      </w:r>
    </w:p>
    <w:p w14:paraId="44F95FC1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Index: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First qualifying antidepressant prescription or MDD treatment decision.</w:t>
      </w:r>
    </w:p>
    <w:p w14:paraId="2DDB5B76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Treatment arms: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SSRI, SNRI, bupropion, mirtazapine, vortioxetine.</w:t>
      </w:r>
    </w:p>
    <w:p w14:paraId="53508A5E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Design options:</w:t>
      </w:r>
    </w:p>
    <w:p w14:paraId="53D92372" w14:textId="77777777" w:rsidR="00891430" w:rsidRPr="00891430" w:rsidRDefault="00891430" w:rsidP="00891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Pairwise CRF: SSRI vs SNRI, SSRI vs bupropion, SSRI vs mirtazapine.</w:t>
      </w:r>
    </w:p>
    <w:p w14:paraId="4C31AA73" w14:textId="77777777" w:rsidR="00891430" w:rsidRPr="00891430" w:rsidRDefault="00891430" w:rsidP="00891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Multi-arm causal forest if available and sample size supports it.</w:t>
      </w:r>
    </w:p>
    <w:p w14:paraId="2864D60B" w14:textId="77777777" w:rsidR="00891430" w:rsidRPr="00891430" w:rsidRDefault="00891430" w:rsidP="00891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Avoid independent binary “any SSRI trial” / “any SNRI trial” models unless the contrast is explicitly defined.</w:t>
      </w:r>
    </w:p>
    <w:p w14:paraId="3F743CC9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Outcome examples: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Response proxy, remission proxy, medication persistence, psychiatric hospitalization, ED visit, treatment escalation, psychotherapy initiation, suicide-related event, PHQ-9 improvement if available.</w:t>
      </w:r>
    </w:p>
    <w:p w14:paraId="694CCE39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Baseline covariates: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Prior depression severity proxies, anxiety, bipolar exclusion/risk, substance use, pain, insomnia, prior antidepressant history, prior hospitalizations, utilization intensity, comorbidities, medication burden, benzodiazepines/hypnotics/NSAIDs at baseline.</w:t>
      </w:r>
    </w:p>
    <w:p w14:paraId="42904D6E" w14:textId="77777777" w:rsidR="00891430" w:rsidRPr="00891430" w:rsidRDefault="002755C1" w:rsidP="00891430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755C1">
        <w:rPr>
          <w:rFonts w:ascii="Calibri" w:eastAsia="Times New Roman" w:hAnsi="Calibri" w:cs="Calibri"/>
          <w:noProof/>
          <w:kern w:val="0"/>
          <w:sz w:val="22"/>
          <w:szCs w:val="22"/>
        </w:rPr>
        <w:pict w14:anchorId="618417F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4F73DF1" w14:textId="77777777" w:rsidR="00891430" w:rsidRPr="00891430" w:rsidRDefault="00891430" w:rsidP="0089143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Target Trial 2: Adequate trial / persistence</w:t>
      </w:r>
    </w:p>
    <w:p w14:paraId="0C101D3F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Population: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Patients who initiated antidepressant treatment at index.</w:t>
      </w:r>
    </w:p>
    <w:p w14:paraId="613EB36E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Treatment: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Adequate exposure or persistence through 6 weeks.</w:t>
      </w:r>
    </w:p>
    <w:p w14:paraId="3D766FFB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Critical design requirement: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Start outcome follow-up after the 6-week landmark, not at baseline.</w:t>
      </w:r>
    </w:p>
    <w:p w14:paraId="03B2D50B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Use case: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This is less about “which medication works” and more about identifying who benefits from or is harmed by persistence versus early discontinuation/change.</w:t>
      </w:r>
    </w:p>
    <w:p w14:paraId="7EA3A6D6" w14:textId="77777777" w:rsidR="00891430" w:rsidRPr="00891430" w:rsidRDefault="002755C1" w:rsidP="00891430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755C1">
        <w:rPr>
          <w:rFonts w:ascii="Calibri" w:eastAsia="Times New Roman" w:hAnsi="Calibri" w:cs="Calibri"/>
          <w:noProof/>
          <w:kern w:val="0"/>
          <w:sz w:val="22"/>
          <w:szCs w:val="22"/>
        </w:rPr>
        <w:pict w14:anchorId="20005AF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7446783" w14:textId="77777777" w:rsidR="00891430" w:rsidRPr="00891430" w:rsidRDefault="00891430" w:rsidP="00891430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Target Trial 3: Augmentation after initial nonresponse</w:t>
      </w:r>
    </w:p>
    <w:p w14:paraId="4643EB86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Population: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Patients with an initial antidepressant trial and evidence of inadequate response, partial response, or escalation need.</w:t>
      </w:r>
    </w:p>
    <w:p w14:paraId="36AF52D7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Index: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Date of nonresponse determination or end of adequate initial trial.</w:t>
      </w:r>
    </w:p>
    <w:p w14:paraId="7F09CFCD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lastRenderedPageBreak/>
        <w:t>Treatment arms: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Augment vs switch vs continue. If CRF is binary: augment vs non-augment.</w:t>
      </w:r>
    </w:p>
    <w:p w14:paraId="3675F98A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Outcome horizon: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Next 8–12 weeks, or clinically relevant follow-up window.</w:t>
      </w:r>
    </w:p>
    <w:p w14:paraId="66F2E598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Key covariates: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Initial medication class, duration, adherence, symptom proxies, sleep/anxiety diagnoses, prior treatment history, comorbidities, healthcare utilization, clinician/site effects.</w:t>
      </w:r>
    </w:p>
    <w:p w14:paraId="0F5ED67B" w14:textId="77777777" w:rsidR="00891430" w:rsidRPr="00891430" w:rsidRDefault="002755C1" w:rsidP="00891430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755C1">
        <w:rPr>
          <w:rFonts w:ascii="Calibri" w:eastAsia="Times New Roman" w:hAnsi="Calibri" w:cs="Calibri"/>
          <w:noProof/>
          <w:kern w:val="0"/>
          <w:sz w:val="22"/>
          <w:szCs w:val="22"/>
        </w:rPr>
        <w:pict w14:anchorId="64CFFCD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456F37E" w14:textId="77777777" w:rsidR="00891430" w:rsidRPr="00891430" w:rsidRDefault="00891430" w:rsidP="008914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Specific recommendation for your variable set</w:t>
      </w:r>
    </w:p>
    <w:p w14:paraId="56C7F533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 would classify the variables as follows:</w:t>
      </w:r>
    </w:p>
    <w:p w14:paraId="501689DB" w14:textId="77777777" w:rsidR="00891430" w:rsidRPr="00891430" w:rsidRDefault="00891430" w:rsidP="008914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Use as primary treatment arms only if defined at index</w:t>
      </w:r>
    </w:p>
    <w:p w14:paraId="0BB378B8" w14:textId="77777777" w:rsidR="00891430" w:rsidRPr="00891430" w:rsidRDefault="00891430" w:rsidP="00891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trials_ssri</w:t>
      </w:r>
    </w:p>
    <w:p w14:paraId="7F2ADC5E" w14:textId="77777777" w:rsidR="00891430" w:rsidRPr="00891430" w:rsidRDefault="00891430" w:rsidP="00891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trials_snri</w:t>
      </w:r>
    </w:p>
    <w:p w14:paraId="2A5504D3" w14:textId="77777777" w:rsidR="00891430" w:rsidRPr="00891430" w:rsidRDefault="00891430" w:rsidP="00891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trials_bupropion</w:t>
      </w:r>
    </w:p>
    <w:p w14:paraId="1AA6E41A" w14:textId="77777777" w:rsidR="00891430" w:rsidRPr="00891430" w:rsidRDefault="00891430" w:rsidP="00891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trials_mirtazapine</w:t>
      </w:r>
    </w:p>
    <w:p w14:paraId="0F897DEF" w14:textId="77777777" w:rsidR="00891430" w:rsidRPr="00891430" w:rsidRDefault="00891430" w:rsidP="00891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trials_vortioxetine</w:t>
      </w:r>
    </w:p>
    <w:p w14:paraId="28B0EE0D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But I would rename them to avoid ambiguity:</w:t>
      </w:r>
    </w:p>
    <w:p w14:paraId="26A9335A" w14:textId="77777777" w:rsidR="00891430" w:rsidRPr="00891430" w:rsidRDefault="00891430" w:rsidP="00891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index_ssri</w:t>
      </w:r>
    </w:p>
    <w:p w14:paraId="4423DA3D" w14:textId="77777777" w:rsidR="00891430" w:rsidRPr="00891430" w:rsidRDefault="00891430" w:rsidP="00891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index_snri</w:t>
      </w:r>
    </w:p>
    <w:p w14:paraId="2E782822" w14:textId="77777777" w:rsidR="00891430" w:rsidRPr="00891430" w:rsidRDefault="00891430" w:rsidP="00891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index_bupropion</w:t>
      </w:r>
    </w:p>
    <w:p w14:paraId="52A86F40" w14:textId="77777777" w:rsidR="00891430" w:rsidRPr="00891430" w:rsidRDefault="00891430" w:rsidP="00891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index_mirtazapine</w:t>
      </w:r>
    </w:p>
    <w:p w14:paraId="22C0CE5B" w14:textId="77777777" w:rsidR="00891430" w:rsidRPr="00891430" w:rsidRDefault="00891430" w:rsidP="008914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index_vortioxetine</w:t>
      </w:r>
    </w:p>
    <w:p w14:paraId="59B9464F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 word “trial” implies adequacy and follow-up, which is problematic for baseline causal assignment.</w:t>
      </w:r>
    </w:p>
    <w:p w14:paraId="33CB28F4" w14:textId="77777777" w:rsidR="00891430" w:rsidRPr="00891430" w:rsidRDefault="00891430" w:rsidP="008914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Use as baseline covariates / effect modifiers</w:t>
      </w:r>
    </w:p>
    <w:p w14:paraId="13EEF3D5" w14:textId="77777777" w:rsidR="00891430" w:rsidRPr="00891430" w:rsidRDefault="00891430" w:rsidP="00891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polypharmacy</w:t>
      </w:r>
    </w:p>
    <w:p w14:paraId="510CE807" w14:textId="77777777" w:rsidR="00891430" w:rsidRPr="00891430" w:rsidRDefault="00891430" w:rsidP="00891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benzo</w:t>
      </w:r>
    </w:p>
    <w:p w14:paraId="772E307A" w14:textId="77777777" w:rsidR="00891430" w:rsidRPr="00891430" w:rsidRDefault="00891430" w:rsidP="00891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hypnotics</w:t>
      </w:r>
    </w:p>
    <w:p w14:paraId="4206B3A7" w14:textId="77777777" w:rsidR="00891430" w:rsidRPr="00891430" w:rsidRDefault="00891430" w:rsidP="00891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nsaid</w:t>
      </w:r>
    </w:p>
    <w:p w14:paraId="1626E6C3" w14:textId="77777777" w:rsidR="00891430" w:rsidRPr="00891430" w:rsidRDefault="00891430" w:rsidP="00891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prior versions of trials_* if they reflect treatment history before index</w:t>
      </w:r>
    </w:p>
    <w:p w14:paraId="6D6F7930" w14:textId="77777777" w:rsidR="00891430" w:rsidRPr="00891430" w:rsidRDefault="00891430" w:rsidP="008914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prior adequate_trial</w:t>
      </w:r>
    </w:p>
    <w:p w14:paraId="68892909" w14:textId="77777777" w:rsidR="00891430" w:rsidRPr="00891430" w:rsidRDefault="00891430" w:rsidP="008914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Use as separate second-stage causal questions</w:t>
      </w:r>
    </w:p>
    <w:p w14:paraId="70F82F2F" w14:textId="77777777" w:rsidR="00891430" w:rsidRPr="00891430" w:rsidRDefault="00891430" w:rsidP="008914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adequate_trial</w:t>
      </w:r>
    </w:p>
    <w:p w14:paraId="7C371402" w14:textId="77777777" w:rsidR="00891430" w:rsidRPr="00891430" w:rsidRDefault="00891430" w:rsidP="008914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augmentation</w:t>
      </w:r>
    </w:p>
    <w:p w14:paraId="68078D2E" w14:textId="77777777" w:rsidR="00891430" w:rsidRPr="00891430" w:rsidRDefault="002755C1" w:rsidP="00891430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755C1">
        <w:rPr>
          <w:rFonts w:ascii="Calibri" w:eastAsia="Times New Roman" w:hAnsi="Calibri" w:cs="Calibri"/>
          <w:noProof/>
          <w:kern w:val="0"/>
          <w:sz w:val="22"/>
          <w:szCs w:val="22"/>
        </w:rPr>
        <w:pict w14:anchorId="1BA588B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4C012AE" w14:textId="77777777" w:rsidR="00891430" w:rsidRPr="00891430" w:rsidRDefault="00891430" w:rsidP="008914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Key analytic cautions</w:t>
      </w:r>
    </w:p>
    <w:p w14:paraId="57993F14" w14:textId="77777777" w:rsidR="00891430" w:rsidRPr="00891430" w:rsidRDefault="00891430" w:rsidP="00891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lastRenderedPageBreak/>
        <w:t>Do not mix pre-index and post-index information.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All covariates for the baseline CRF must be measured before or at treatment assignment.</w:t>
      </w:r>
    </w:p>
    <w:p w14:paraId="2D15C001" w14:textId="77777777" w:rsidR="00891430" w:rsidRPr="00891430" w:rsidRDefault="00891430" w:rsidP="00891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Avoid “any trial ever” as a treatment.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That often collapses treatment history, treatment sequencing, adherence, and future exposure into one biased variable.</w:t>
      </w:r>
    </w:p>
    <w:p w14:paraId="3673A2C2" w14:textId="77777777" w:rsidR="00891430" w:rsidRPr="00891430" w:rsidRDefault="00891430" w:rsidP="00891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Prefer active comparators.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SSRI vs SNRI or SSRI vs bupropion is more interpretable than medication vs no medication, because untreated patients differ substantially.</w:t>
      </w:r>
    </w:p>
    <w:p w14:paraId="0D37AF64" w14:textId="77777777" w:rsidR="00891430" w:rsidRPr="00891430" w:rsidRDefault="00891430" w:rsidP="00891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Check positivity/overlap aggressively.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Vortioxetine, mirtazapine, and augmentation may have sparse or highly selected use. CRF can give unstable CATEs when treatment probability is near 0 or 1 for many patients.</w:t>
      </w:r>
    </w:p>
    <w:p w14:paraId="2C504AAC" w14:textId="77777777" w:rsidR="00891430" w:rsidRPr="00891430" w:rsidRDefault="00891430" w:rsidP="00891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Separate treatment choice from treatment adequacy.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Initial prescription is an assignment decision. Adequate trial is partly adherence, tolerability, persistence, follow-up, and clinician behavior.</w:t>
      </w:r>
    </w:p>
    <w:p w14:paraId="1F4D7CEE" w14:textId="77777777" w:rsidR="00891430" w:rsidRPr="00891430" w:rsidRDefault="00891430" w:rsidP="008914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Use medication burden as confounding structure, not causal exposure by default.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Polypharmacy, benzodiazepines, hypnotics, and NSAIDs are important because they mark clinical complexity.</w:t>
      </w:r>
    </w:p>
    <w:p w14:paraId="7ABE8522" w14:textId="77777777" w:rsidR="00891430" w:rsidRPr="00891430" w:rsidRDefault="002755C1" w:rsidP="00891430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2755C1">
        <w:rPr>
          <w:rFonts w:ascii="Calibri" w:eastAsia="Times New Roman" w:hAnsi="Calibri" w:cs="Calibri"/>
          <w:noProof/>
          <w:kern w:val="0"/>
          <w:sz w:val="22"/>
          <w:szCs w:val="22"/>
        </w:rPr>
        <w:pict w14:anchorId="18E3FF4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A065EE9" w14:textId="77777777" w:rsidR="00891430" w:rsidRPr="00891430" w:rsidRDefault="00891430" w:rsidP="0089143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Bottom line</w:t>
      </w:r>
    </w:p>
    <w:p w14:paraId="617410B2" w14:textId="77777777" w:rsidR="00891430" w:rsidRPr="00891430" w:rsidRDefault="00891430" w:rsidP="0089143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The best primary CRF treatment variables are the </w:t>
      </w: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antidepressant class choices at index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SSRI, SNRI, bupropion, mirtazapine, and possibly vortioxetine. adequate_trial and augmentation are clinically important but should be modeled as </w:t>
      </w: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later-stage treatment decisions or landmark analyses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not simple baseline treatments. polypharmacy, benzo, hypnotics, and nsaid are more defensible as </w:t>
      </w:r>
      <w:r w:rsidRPr="0089143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baseline covariates, confounders, or effect modifiers</w:t>
      </w:r>
      <w:r w:rsidRPr="0089143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than as primary causal treatments.</w:t>
      </w:r>
    </w:p>
    <w:p w14:paraId="40DEBA3A" w14:textId="77777777" w:rsidR="00891430" w:rsidRPr="00891430" w:rsidRDefault="00891430">
      <w:pPr>
        <w:rPr>
          <w:rFonts w:ascii="Calibri" w:hAnsi="Calibri" w:cs="Calibri"/>
          <w:sz w:val="22"/>
          <w:szCs w:val="22"/>
        </w:rPr>
      </w:pPr>
    </w:p>
    <w:sectPr w:rsidR="00891430" w:rsidRPr="00891430" w:rsidSect="0089143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034F3"/>
    <w:multiLevelType w:val="multilevel"/>
    <w:tmpl w:val="F74E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E1A17"/>
    <w:multiLevelType w:val="multilevel"/>
    <w:tmpl w:val="1638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44E1B"/>
    <w:multiLevelType w:val="multilevel"/>
    <w:tmpl w:val="473A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25EBC"/>
    <w:multiLevelType w:val="multilevel"/>
    <w:tmpl w:val="1384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B64B1"/>
    <w:multiLevelType w:val="multilevel"/>
    <w:tmpl w:val="70E6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2229F"/>
    <w:multiLevelType w:val="multilevel"/>
    <w:tmpl w:val="AE243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D85EC4"/>
    <w:multiLevelType w:val="multilevel"/>
    <w:tmpl w:val="C218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3623C"/>
    <w:multiLevelType w:val="multilevel"/>
    <w:tmpl w:val="E86E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4019C"/>
    <w:multiLevelType w:val="multilevel"/>
    <w:tmpl w:val="EABE0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577818"/>
    <w:multiLevelType w:val="multilevel"/>
    <w:tmpl w:val="FDA0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005348">
    <w:abstractNumId w:val="8"/>
  </w:num>
  <w:num w:numId="2" w16cid:durableId="1606306998">
    <w:abstractNumId w:val="2"/>
  </w:num>
  <w:num w:numId="3" w16cid:durableId="418983687">
    <w:abstractNumId w:val="1"/>
  </w:num>
  <w:num w:numId="4" w16cid:durableId="653678857">
    <w:abstractNumId w:val="7"/>
  </w:num>
  <w:num w:numId="5" w16cid:durableId="1584021597">
    <w:abstractNumId w:val="9"/>
  </w:num>
  <w:num w:numId="6" w16cid:durableId="774709340">
    <w:abstractNumId w:val="0"/>
  </w:num>
  <w:num w:numId="7" w16cid:durableId="90442362">
    <w:abstractNumId w:val="4"/>
  </w:num>
  <w:num w:numId="8" w16cid:durableId="382289648">
    <w:abstractNumId w:val="3"/>
  </w:num>
  <w:num w:numId="9" w16cid:durableId="1404987203">
    <w:abstractNumId w:val="6"/>
  </w:num>
  <w:num w:numId="10" w16cid:durableId="64884388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430"/>
    <w:rsid w:val="000956A8"/>
    <w:rsid w:val="000B129A"/>
    <w:rsid w:val="00120B22"/>
    <w:rsid w:val="002755C1"/>
    <w:rsid w:val="002F23C8"/>
    <w:rsid w:val="003922C7"/>
    <w:rsid w:val="004B19AF"/>
    <w:rsid w:val="00586258"/>
    <w:rsid w:val="005A4697"/>
    <w:rsid w:val="005D45B6"/>
    <w:rsid w:val="007C401A"/>
    <w:rsid w:val="007D5F22"/>
    <w:rsid w:val="00832F90"/>
    <w:rsid w:val="00847DCC"/>
    <w:rsid w:val="00891430"/>
    <w:rsid w:val="008950F2"/>
    <w:rsid w:val="00943393"/>
    <w:rsid w:val="00966964"/>
    <w:rsid w:val="009B733C"/>
    <w:rsid w:val="009E7D59"/>
    <w:rsid w:val="00B444A8"/>
    <w:rsid w:val="00B978AD"/>
    <w:rsid w:val="00BB5F36"/>
    <w:rsid w:val="00CA643A"/>
    <w:rsid w:val="00D10471"/>
    <w:rsid w:val="00D5774F"/>
    <w:rsid w:val="00E00F72"/>
    <w:rsid w:val="00E53556"/>
    <w:rsid w:val="00EC1E95"/>
    <w:rsid w:val="00ED0834"/>
    <w:rsid w:val="00F047F8"/>
    <w:rsid w:val="00FE55C3"/>
    <w:rsid w:val="00FF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C094B"/>
  <w15:chartTrackingRefBased/>
  <w15:docId w15:val="{8AA49170-40E8-1B49-8433-6B60A32FE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1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1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1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4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1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914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1430"/>
    <w:rPr>
      <w:rFonts w:ascii="Courier New" w:eastAsia="Times New Roman" w:hAnsi="Courier New" w:cs="Courier New"/>
      <w:sz w:val="20"/>
      <w:szCs w:val="20"/>
    </w:rPr>
  </w:style>
  <w:style w:type="table" w:styleId="ListTable7Colorful">
    <w:name w:val="List Table 7 Colorful"/>
    <w:basedOn w:val="TableNormal"/>
    <w:uiPriority w:val="52"/>
    <w:rsid w:val="0089143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1430</Words>
  <Characters>10099</Characters>
  <Application>Microsoft Office Word</Application>
  <DocSecurity>0</DocSecurity>
  <Lines>246</Lines>
  <Paragraphs>134</Paragraphs>
  <ScaleCrop>false</ScaleCrop>
  <Company/>
  <LinksUpToDate>false</LinksUpToDate>
  <CharactersWithSpaces>11395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Paulus</dc:creator>
  <cp:keywords/>
  <dc:description/>
  <cp:lastModifiedBy>Martin Paulus</cp:lastModifiedBy>
  <cp:revision>1</cp:revision>
  <dcterms:created xsi:type="dcterms:W3CDTF">2026-07-08T15:43:00Z</dcterms:created>
  <dcterms:modified xsi:type="dcterms:W3CDTF">2026-07-08T15:45:00Z</dcterms:modified>
</cp:coreProperties>
</file>