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doi:10.2147/PPA.S29716.</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doi:10.1016/S2215-0366(15)00471-X.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2025;647(8088):248-256.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30. Goldberger J, Roweis S, Hinton G, Salakhutdinov R. Neighbourhood components analysis. In: Saul LK, Weiss Y, Bottou L, editors. Advances in Neural Information Processing Systems 17 (NIPS 2004). Cambridge (MA): MIT Press; 2005. URL: https://proceedings.neurips.cc/paper/2004/hash/42fe880812925e520249e808937738d2-Abstract.html</w:t>
      </w:r>
    </w:p>
    <w:p>
      <w:pPr>
        <w:pStyle w:val="BodyText"/>
      </w:pPr>
      <w:r>
        <w:t xml:space="preserve">31. Cawley GC, Talbot NLC. On over-fitting in model selection and subsequent selection bias in performance evaluation. J Mach Learn Res. 2010;11:2079-2107.</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2026-10-10T14:39:19Z</dcterms:created>
  <dcterms:modified xsi:type="dcterms:W3CDTF">2026-10-10T14:39:19Z</dcterms:modified>
</cp:coreProperties>
</file>

<file path=docProps/custom.xml><?xml version="1.0" encoding="utf-8"?>
<Properties xmlns="http://schemas.openxmlformats.org/officeDocument/2006/custom-properties" xmlns:vt="http://schemas.openxmlformats.org/officeDocument/2006/docPropsVTypes"/>
</file>