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20" w:name="s9.1-design"/>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Qwen3-Embedding-8B,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20"/>
    <w:bookmarkStart w:id="21" w:name="s9.2-sociodemographic-strata"/>
    <w:p>
      <w:pPr>
        <w:pStyle w:val="Heading2"/>
      </w:pPr>
      <w:r>
        <w:t xml:space="preserve">S9.2 Sociodemographic strata</w:t>
      </w:r>
    </w:p>
    <w:p>
      <w:pPr>
        <w:pStyle w:val="FirstParagraph"/>
      </w:pPr>
      <w:r>
        <w:t xml:space="preserve">Table S10 gives discrimination and calibration within each sociodemographic stratum, and Figure S13 plots the discrimination.</w:t>
      </w:r>
    </w:p>
    <w:p>
      <w:pPr>
        <w:pStyle w:val="BodyText"/>
      </w:pPr>
      <w:r>
        <w:t xml:space="preserve">Table S10. Discrimination and calibration by sociodemographic stratum, one representative model per arm (embedded logistic regression, feature-vector XGBoost, and logistic-regression-weighted retrieval at k = 295, the leading model of each), Qwen3-Embedding-8B,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XGB</w:t>
            </w:r>
          </w:p>
        </w:tc>
        <w:tc>
          <w:tcPr/>
          <w:p>
            <w:pPr>
              <w:pStyle w:val="Compact"/>
            </w:pPr>
            <w:r>
              <w:t xml:space="preserve">0.649 (0.634–0.664)</w:t>
            </w:r>
          </w:p>
        </w:tc>
        <w:tc>
          <w:tcPr/>
          <w:p>
            <w:pPr>
              <w:pStyle w:val="Compact"/>
            </w:pPr>
            <w:r>
              <w:t xml:space="preserve">0.138 (0.132–0.143)</w:t>
            </w:r>
          </w:p>
        </w:tc>
        <w:tc>
          <w:tcPr/>
          <w:p>
            <w:pPr>
              <w:pStyle w:val="Compact"/>
            </w:pPr>
            <w:r>
              <w:t xml:space="preserve">1.25 (1.13–1.37)</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XGB</w:t>
            </w:r>
          </w:p>
        </w:tc>
        <w:tc>
          <w:tcPr/>
          <w:p>
            <w:pPr>
              <w:pStyle w:val="Compact"/>
            </w:pPr>
            <w:r>
              <w:t xml:space="preserve">0.654 (0.624–0.683)</w:t>
            </w:r>
          </w:p>
        </w:tc>
        <w:tc>
          <w:tcPr/>
          <w:p>
            <w:pPr>
              <w:pStyle w:val="Compact"/>
            </w:pPr>
            <w:r>
              <w:t xml:space="preserve">0.131 (0.122–0.140)</w:t>
            </w:r>
          </w:p>
        </w:tc>
        <w:tc>
          <w:tcPr/>
          <w:p>
            <w:pPr>
              <w:pStyle w:val="Compact"/>
            </w:pPr>
            <w:r>
              <w:t xml:space="preserve">1.18 (0.96–1.42)</w:t>
            </w:r>
          </w:p>
        </w:tc>
        <w:tc>
          <w:tcPr/>
          <w:p>
            <w:pPr>
              <w:pStyle w:val="Compact"/>
            </w:pPr>
            <w:r>
              <w:t xml:space="preserve">+0.006 (−0.007 to +0.021)</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XGB</w:t>
            </w:r>
          </w:p>
        </w:tc>
        <w:tc>
          <w:tcPr/>
          <w:p>
            <w:pPr>
              <w:pStyle w:val="Compact"/>
            </w:pPr>
            <w:r>
              <w:t xml:space="preserve">0.647 (0.630–0.664)</w:t>
            </w:r>
          </w:p>
        </w:tc>
        <w:tc>
          <w:tcPr/>
          <w:p>
            <w:pPr>
              <w:pStyle w:val="Compact"/>
            </w:pPr>
            <w:r>
              <w:t xml:space="preserve">0.140 (0.134–0.146)</w:t>
            </w:r>
          </w:p>
        </w:tc>
        <w:tc>
          <w:tcPr/>
          <w:p>
            <w:pPr>
              <w:pStyle w:val="Compact"/>
            </w:pPr>
            <w:r>
              <w:t xml:space="preserve">1.27 (1.14–1.42)</w:t>
            </w:r>
          </w:p>
        </w:tc>
        <w:tc>
          <w:tcPr/>
          <w:p>
            <w:pPr>
              <w:pStyle w:val="Compact"/>
            </w:pPr>
            <w:r>
              <w:t xml:space="preserve">−0.002 (−0.011 to +0.007)</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XGB</w:t>
            </w:r>
          </w:p>
        </w:tc>
        <w:tc>
          <w:tcPr/>
          <w:p>
            <w:pPr>
              <w:pStyle w:val="Compact"/>
            </w:pPr>
            <w:r>
              <w:t xml:space="preserve">0.656 (0.639–0.673)</w:t>
            </w:r>
          </w:p>
        </w:tc>
        <w:tc>
          <w:tcPr/>
          <w:p>
            <w:pPr>
              <w:pStyle w:val="Compact"/>
            </w:pPr>
            <w:r>
              <w:t xml:space="preserve">0.136 (0.130–0.141)</w:t>
            </w:r>
          </w:p>
        </w:tc>
        <w:tc>
          <w:tcPr/>
          <w:p>
            <w:pPr>
              <w:pStyle w:val="Compact"/>
            </w:pPr>
            <w:r>
              <w:t xml:space="preserve">1.28 (1.14–1.44)</w:t>
            </w:r>
          </w:p>
        </w:tc>
        <w:tc>
          <w:tcPr/>
          <w:p>
            <w:pPr>
              <w:pStyle w:val="Compact"/>
            </w:pPr>
            <w:r>
              <w:t xml:space="preserve">−0.000 (−0.009 to +0.008)</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XGB</w:t>
            </w:r>
          </w:p>
        </w:tc>
        <w:tc>
          <w:tcPr/>
          <w:p>
            <w:pPr>
              <w:pStyle w:val="Compact"/>
            </w:pPr>
            <w:r>
              <w:t xml:space="preserve">0.616 (0.579–0.650)</w:t>
            </w:r>
          </w:p>
        </w:tc>
        <w:tc>
          <w:tcPr/>
          <w:p>
            <w:pPr>
              <w:pStyle w:val="Compact"/>
            </w:pPr>
            <w:r>
              <w:t xml:space="preserve">0.146 (0.136–0.158)</w:t>
            </w:r>
          </w:p>
        </w:tc>
        <w:tc>
          <w:tcPr/>
          <w:p>
            <w:pPr>
              <w:pStyle w:val="Compact"/>
            </w:pPr>
            <w:r>
              <w:t xml:space="preserve">1.07 (0.75–1.36)</w:t>
            </w:r>
          </w:p>
        </w:tc>
        <w:tc>
          <w:tcPr/>
          <w:p>
            <w:pPr>
              <w:pStyle w:val="Compact"/>
            </w:pPr>
            <w:r>
              <w:t xml:space="preserve">+0.000 (−0.019 to +0.017)</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XGB</w:t>
            </w:r>
          </w:p>
        </w:tc>
        <w:tc>
          <w:tcPr/>
          <w:p>
            <w:pPr>
              <w:pStyle w:val="Compact"/>
            </w:pPr>
            <w:r>
              <w:t xml:space="preserve">0.588 (0.544–0.628)</w:t>
            </w:r>
          </w:p>
        </w:tc>
        <w:tc>
          <w:tcPr/>
          <w:p>
            <w:pPr>
              <w:pStyle w:val="Compact"/>
            </w:pPr>
            <w:r>
              <w:t xml:space="preserve">0.157 (0.144–0.172)</w:t>
            </w:r>
          </w:p>
        </w:tc>
        <w:tc>
          <w:tcPr/>
          <w:p>
            <w:pPr>
              <w:pStyle w:val="Compact"/>
            </w:pPr>
            <w:r>
              <w:t xml:space="preserve">0.96 (0.50–1.39)</w:t>
            </w:r>
          </w:p>
        </w:tc>
        <w:tc>
          <w:tcPr/>
          <w:p>
            <w:pPr>
              <w:pStyle w:val="Compact"/>
            </w:pPr>
            <w:r>
              <w:t xml:space="preserve">+0.001 (−0.025 to +0.024)</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XGB</w:t>
            </w:r>
          </w:p>
        </w:tc>
        <w:tc>
          <w:tcPr/>
          <w:p>
            <w:pPr>
              <w:pStyle w:val="Compact"/>
            </w:pPr>
            <w:r>
              <w:t xml:space="preserve">0.649 (0.617–0.681)</w:t>
            </w:r>
          </w:p>
        </w:tc>
        <w:tc>
          <w:tcPr/>
          <w:p>
            <w:pPr>
              <w:pStyle w:val="Compact"/>
            </w:pPr>
            <w:r>
              <w:t xml:space="preserve">0.154 (0.144–0.166)</w:t>
            </w:r>
          </w:p>
        </w:tc>
        <w:tc>
          <w:tcPr/>
          <w:p>
            <w:pPr>
              <w:pStyle w:val="Compact"/>
            </w:pPr>
            <w:r>
              <w:t xml:space="preserve">1.35 (1.08–1.66)</w:t>
            </w:r>
          </w:p>
        </w:tc>
        <w:tc>
          <w:tcPr/>
          <w:p>
            <w:pPr>
              <w:pStyle w:val="Compact"/>
            </w:pPr>
            <w:r>
              <w:t xml:space="preserve">−0.004 (−0.023 to +0.014)</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XGB</w:t>
            </w:r>
          </w:p>
        </w:tc>
        <w:tc>
          <w:tcPr/>
          <w:p>
            <w:pPr>
              <w:pStyle w:val="Compact"/>
            </w:pPr>
            <w:r>
              <w:t xml:space="preserve">0.642 (0.614–0.671)</w:t>
            </w:r>
          </w:p>
        </w:tc>
        <w:tc>
          <w:tcPr/>
          <w:p>
            <w:pPr>
              <w:pStyle w:val="Compact"/>
            </w:pPr>
            <w:r>
              <w:t xml:space="preserve">0.140 (0.131–0.149)</w:t>
            </w:r>
          </w:p>
        </w:tc>
        <w:tc>
          <w:tcPr/>
          <w:p>
            <w:pPr>
              <w:pStyle w:val="Compact"/>
            </w:pPr>
            <w:r>
              <w:t xml:space="preserve">1.24 (1.01–1.48)</w:t>
            </w:r>
          </w:p>
        </w:tc>
        <w:tc>
          <w:tcPr/>
          <w:p>
            <w:pPr>
              <w:pStyle w:val="Compact"/>
            </w:pPr>
            <w:r>
              <w:t xml:space="preserve">+0.005 (−0.008 to +0.020)</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XGB</w:t>
            </w:r>
          </w:p>
        </w:tc>
        <w:tc>
          <w:tcPr/>
          <w:p>
            <w:pPr>
              <w:pStyle w:val="Compact"/>
            </w:pPr>
            <w:r>
              <w:t xml:space="preserve">0.660 (0.631–0.687)</w:t>
            </w:r>
          </w:p>
        </w:tc>
        <w:tc>
          <w:tcPr/>
          <w:p>
            <w:pPr>
              <w:pStyle w:val="Compact"/>
            </w:pPr>
            <w:r>
              <w:t xml:space="preserve">0.118 (0.109–0.126)</w:t>
            </w:r>
          </w:p>
        </w:tc>
        <w:tc>
          <w:tcPr/>
          <w:p>
            <w:pPr>
              <w:pStyle w:val="Compact"/>
            </w:pPr>
            <w:r>
              <w:t xml:space="preserve">1.42 (1.19–1.66)</w:t>
            </w:r>
          </w:p>
        </w:tc>
        <w:tc>
          <w:tcPr/>
          <w:p>
            <w:pPr>
              <w:pStyle w:val="Compact"/>
            </w:pPr>
            <w:r>
              <w:t xml:space="preserve">−0.002 (−0.015 to +0.011)</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XGB</w:t>
            </w:r>
          </w:p>
        </w:tc>
        <w:tc>
          <w:tcPr/>
          <w:p>
            <w:pPr>
              <w:pStyle w:val="Compact"/>
            </w:pPr>
            <w:r>
              <w:t xml:space="preserve">0.633 (0.590–0.673)</w:t>
            </w:r>
          </w:p>
        </w:tc>
        <w:tc>
          <w:tcPr/>
          <w:p>
            <w:pPr>
              <w:pStyle w:val="Compact"/>
            </w:pPr>
            <w:r>
              <w:t xml:space="preserve">0.175 (0.158–0.193)</w:t>
            </w:r>
          </w:p>
        </w:tc>
        <w:tc>
          <w:tcPr/>
          <w:p>
            <w:pPr>
              <w:pStyle w:val="Compact"/>
            </w:pPr>
            <w:r>
              <w:t xml:space="preserve">1.12 (0.79–1.45)</w:t>
            </w:r>
          </w:p>
        </w:tc>
        <w:tc>
          <w:tcPr/>
          <w:p>
            <w:pPr>
              <w:pStyle w:val="Compact"/>
            </w:pPr>
            <w:r>
              <w:t xml:space="preserve">−0.053 (−0.082 to −0.026)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XGB</w:t>
            </w:r>
          </w:p>
        </w:tc>
        <w:tc>
          <w:tcPr/>
          <w:p>
            <w:pPr>
              <w:pStyle w:val="Compact"/>
            </w:pPr>
            <w:r>
              <w:t xml:space="preserve">0.620 (0.595–0.649)</w:t>
            </w:r>
          </w:p>
        </w:tc>
        <w:tc>
          <w:tcPr/>
          <w:p>
            <w:pPr>
              <w:pStyle w:val="Compact"/>
            </w:pPr>
            <w:r>
              <w:t xml:space="preserve">0.146 (0.137–0.156)</w:t>
            </w:r>
          </w:p>
        </w:tc>
        <w:tc>
          <w:tcPr/>
          <w:p>
            <w:pPr>
              <w:pStyle w:val="Compact"/>
            </w:pPr>
            <w:r>
              <w:t xml:space="preserve">1.12 (0.88–1.37)</w:t>
            </w:r>
          </w:p>
        </w:tc>
        <w:tc>
          <w:tcPr/>
          <w:p>
            <w:pPr>
              <w:pStyle w:val="Compact"/>
            </w:pPr>
            <w:r>
              <w:t xml:space="preserve">+0.011 (−0.005 to +0.026)</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XGB</w:t>
            </w:r>
          </w:p>
        </w:tc>
        <w:tc>
          <w:tcPr/>
          <w:p>
            <w:pPr>
              <w:pStyle w:val="Compact"/>
            </w:pPr>
            <w:r>
              <w:t xml:space="preserve">0.660 (0.639–0.681)</w:t>
            </w:r>
          </w:p>
        </w:tc>
        <w:tc>
          <w:tcPr/>
          <w:p>
            <w:pPr>
              <w:pStyle w:val="Compact"/>
            </w:pPr>
            <w:r>
              <w:t xml:space="preserve">0.130 (0.123–0.136)</w:t>
            </w:r>
          </w:p>
        </w:tc>
        <w:tc>
          <w:tcPr/>
          <w:p>
            <w:pPr>
              <w:pStyle w:val="Compact"/>
            </w:pPr>
            <w:r>
              <w:t xml:space="preserve">1.35 (1.17–1.54)</w:t>
            </w:r>
          </w:p>
        </w:tc>
        <w:tc>
          <w:tcPr/>
          <w:p>
            <w:pPr>
              <w:pStyle w:val="Compact"/>
            </w:pPr>
            <w:r>
              <w:t xml:space="preserve">+0.002 (−0.009 to +0.012)</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XGB</w:t>
            </w:r>
          </w:p>
        </w:tc>
        <w:tc>
          <w:tcPr/>
          <w:p>
            <w:pPr>
              <w:pStyle w:val="Compact"/>
            </w:pPr>
            <w:r>
              <w:t xml:space="preserve">0.609 (0.442–0.764)</w:t>
            </w:r>
          </w:p>
        </w:tc>
        <w:tc>
          <w:tcPr/>
          <w:p>
            <w:pPr>
              <w:pStyle w:val="Compact"/>
            </w:pPr>
            <w:r>
              <w:t xml:space="preserve">0.164 (0.115–0.214)</w:t>
            </w:r>
          </w:p>
        </w:tc>
        <w:tc>
          <w:tcPr/>
          <w:p>
            <w:pPr>
              <w:pStyle w:val="Compact"/>
            </w:pPr>
            <w:r>
              <w:t xml:space="preserve">0.72 (−0.56 to 2.60)</w:t>
            </w:r>
          </w:p>
        </w:tc>
        <w:tc>
          <w:tcPr/>
          <w:p>
            <w:pPr>
              <w:pStyle w:val="Compact"/>
            </w:pPr>
            <w:r>
              <w:t xml:space="preserve">−0.006 (−0.094 to +0.071)</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XGB</w:t>
            </w:r>
          </w:p>
        </w:tc>
        <w:tc>
          <w:tcPr/>
          <w:p>
            <w:pPr>
              <w:pStyle w:val="Compact"/>
            </w:pPr>
            <w:r>
              <w:t xml:space="preserve">0.643 (0.587–0.693)</w:t>
            </w:r>
          </w:p>
        </w:tc>
        <w:tc>
          <w:tcPr/>
          <w:p>
            <w:pPr>
              <w:pStyle w:val="Compact"/>
            </w:pPr>
            <w:r>
              <w:t xml:space="preserve">0.112 (0.097–0.127)</w:t>
            </w:r>
          </w:p>
        </w:tc>
        <w:tc>
          <w:tcPr/>
          <w:p>
            <w:pPr>
              <w:pStyle w:val="Compact"/>
            </w:pPr>
            <w:r>
              <w:t xml:space="preserve">1.31 (0.87–1.74)</w:t>
            </w:r>
          </w:p>
        </w:tc>
        <w:tc>
          <w:tcPr/>
          <w:p>
            <w:pPr>
              <w:pStyle w:val="Compact"/>
            </w:pPr>
            <w:r>
              <w:t xml:space="preserve">+0.017 (−0.004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XGB</w:t>
            </w:r>
          </w:p>
        </w:tc>
        <w:tc>
          <w:tcPr/>
          <w:p>
            <w:pPr>
              <w:pStyle w:val="Compact"/>
            </w:pPr>
            <w:r>
              <w:t xml:space="preserve">0.658 (0.620–0.698)</w:t>
            </w:r>
          </w:p>
        </w:tc>
        <w:tc>
          <w:tcPr/>
          <w:p>
            <w:pPr>
              <w:pStyle w:val="Compact"/>
            </w:pPr>
            <w:r>
              <w:t xml:space="preserve">0.161 (0.146–0.174)</w:t>
            </w:r>
          </w:p>
        </w:tc>
        <w:tc>
          <w:tcPr/>
          <w:p>
            <w:pPr>
              <w:pStyle w:val="Compact"/>
            </w:pPr>
            <w:r>
              <w:t xml:space="preserve">1.25 (0.95–1.58)</w:t>
            </w:r>
          </w:p>
        </w:tc>
        <w:tc>
          <w:tcPr/>
          <w:p>
            <w:pPr>
              <w:pStyle w:val="Compact"/>
            </w:pPr>
            <w:r>
              <w:t xml:space="preserve">−0.014 (−0.037 to +0.010)</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XGB</w:t>
            </w:r>
          </w:p>
        </w:tc>
        <w:tc>
          <w:tcPr/>
          <w:p>
            <w:pPr>
              <w:pStyle w:val="Compact"/>
            </w:pPr>
            <w:r>
              <w:t xml:space="preserve">0.654 (0.627–0.683)</w:t>
            </w:r>
          </w:p>
        </w:tc>
        <w:tc>
          <w:tcPr/>
          <w:p>
            <w:pPr>
              <w:pStyle w:val="Compact"/>
            </w:pPr>
            <w:r>
              <w:t xml:space="preserve">0.138 (0.128–0.147)</w:t>
            </w:r>
          </w:p>
        </w:tc>
        <w:tc>
          <w:tcPr/>
          <w:p>
            <w:pPr>
              <w:pStyle w:val="Compact"/>
            </w:pPr>
            <w:r>
              <w:t xml:space="preserve">1.22 (1.00–1.44)</w:t>
            </w:r>
          </w:p>
        </w:tc>
        <w:tc>
          <w:tcPr/>
          <w:p>
            <w:pPr>
              <w:pStyle w:val="Compact"/>
            </w:pPr>
            <w:r>
              <w:t xml:space="preserve">−0.003 (−0.018 to +0.011)</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XGB</w:t>
            </w:r>
          </w:p>
        </w:tc>
        <w:tc>
          <w:tcPr/>
          <w:p>
            <w:pPr>
              <w:pStyle w:val="Compact"/>
            </w:pPr>
            <w:r>
              <w:t xml:space="preserve">0.639 (0.616–0.660)</w:t>
            </w:r>
          </w:p>
        </w:tc>
        <w:tc>
          <w:tcPr/>
          <w:p>
            <w:pPr>
              <w:pStyle w:val="Compact"/>
            </w:pPr>
            <w:r>
              <w:t xml:space="preserve">0.132 (0.126–0.139)</w:t>
            </w:r>
          </w:p>
        </w:tc>
        <w:tc>
          <w:tcPr/>
          <w:p>
            <w:pPr>
              <w:pStyle w:val="Compact"/>
            </w:pPr>
            <w:r>
              <w:t xml:space="preserve">1.26 (1.06–1.44)</w:t>
            </w:r>
          </w:p>
        </w:tc>
        <w:tc>
          <w:tcPr/>
          <w:p>
            <w:pPr>
              <w:pStyle w:val="Compact"/>
            </w:pPr>
            <w:r>
              <w:t xml:space="preserve">+0.005 (−0.005 to +0.015)</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XGB</w:t>
            </w:r>
          </w:p>
        </w:tc>
        <w:tc>
          <w:tcPr/>
          <w:p>
            <w:pPr>
              <w:pStyle w:val="Compact"/>
            </w:pPr>
            <w:r>
              <w:t xml:space="preserve">0.681 (0.619–0.737)</w:t>
            </w:r>
          </w:p>
        </w:tc>
        <w:tc>
          <w:tcPr/>
          <w:p>
            <w:pPr>
              <w:pStyle w:val="Compact"/>
            </w:pPr>
            <w:r>
              <w:t xml:space="preserve">0.122 (0.105–0.140)</w:t>
            </w:r>
          </w:p>
        </w:tc>
        <w:tc>
          <w:tcPr/>
          <w:p>
            <w:pPr>
              <w:pStyle w:val="Compact"/>
            </w:pPr>
            <w:r>
              <w:t xml:space="preserve">1.52 (1.02–2.07)</w:t>
            </w:r>
          </w:p>
        </w:tc>
        <w:tc>
          <w:tcPr/>
          <w:p>
            <w:pPr>
              <w:pStyle w:val="Compact"/>
            </w:pPr>
            <w:r>
              <w:t xml:space="preserve">+0.011 (−0.018 to +0.036)</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XGB</w:t>
            </w:r>
          </w:p>
        </w:tc>
        <w:tc>
          <w:tcPr/>
          <w:p>
            <w:pPr>
              <w:pStyle w:val="Compact"/>
            </w:pPr>
            <w:r>
              <w:t xml:space="preserve">0.607 (0.556–0.659)</w:t>
            </w:r>
          </w:p>
        </w:tc>
        <w:tc>
          <w:tcPr/>
          <w:p>
            <w:pPr>
              <w:pStyle w:val="Compact"/>
            </w:pPr>
            <w:r>
              <w:t xml:space="preserve">0.151 (0.135–0.169)</w:t>
            </w:r>
          </w:p>
        </w:tc>
        <w:tc>
          <w:tcPr/>
          <w:p>
            <w:pPr>
              <w:pStyle w:val="Compact"/>
            </w:pPr>
            <w:r>
              <w:t xml:space="preserve">0.92 (0.50–1.35)</w:t>
            </w:r>
          </w:p>
        </w:tc>
        <w:tc>
          <w:tcPr/>
          <w:p>
            <w:pPr>
              <w:pStyle w:val="Compact"/>
            </w:pPr>
            <w:r>
              <w:t xml:space="preserve">−0.011 (−0.038 to +0.015)</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XGB</w:t>
            </w:r>
          </w:p>
        </w:tc>
        <w:tc>
          <w:tcPr/>
          <w:p>
            <w:pPr>
              <w:pStyle w:val="Compact"/>
            </w:pPr>
            <w:r>
              <w:t xml:space="preserve">0.662 (0.641–0.682)</w:t>
            </w:r>
          </w:p>
        </w:tc>
        <w:tc>
          <w:tcPr/>
          <w:p>
            <w:pPr>
              <w:pStyle w:val="Compact"/>
            </w:pPr>
            <w:r>
              <w:t xml:space="preserve">0.134 (0.127–0.141)</w:t>
            </w:r>
          </w:p>
        </w:tc>
        <w:tc>
          <w:tcPr/>
          <w:p>
            <w:pPr>
              <w:pStyle w:val="Compact"/>
            </w:pPr>
            <w:r>
              <w:t xml:space="preserve">1.33 (1.16–1.51)</w:t>
            </w:r>
          </w:p>
        </w:tc>
        <w:tc>
          <w:tcPr/>
          <w:p>
            <w:pPr>
              <w:pStyle w:val="Compact"/>
            </w:pPr>
            <w:r>
              <w:t xml:space="preserve">−0.001 (−0.010 to +0.009)</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w:t>
      </w:r>
    </w:p>
    <w:bookmarkEnd w:id="21"/>
    <w:bookmarkStart w:id="22" w:name="s9.3-clinical-strata"/>
    <w:p>
      <w:pPr>
        <w:pStyle w:val="Heading2"/>
      </w:pPr>
      <w:r>
        <w:t xml:space="preserve">S9.3 Clinical strata</w:t>
      </w:r>
    </w:p>
    <w:p>
      <w:pPr>
        <w:pStyle w:val="FirstParagraph"/>
      </w:pPr>
      <w:r>
        <w:t xml:space="preserve">Table S11. Discrimination and calibration by recorded depression phenotype, one representative model per arm (embedded logistic regression, feature-vector XGBoost, and logistic-regression-weighted retrieval at k = 295, the leading model of each), Qwen3-Embedding-8B.</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XGB</w:t>
            </w:r>
          </w:p>
        </w:tc>
        <w:tc>
          <w:tcPr/>
          <w:p>
            <w:pPr>
              <w:pStyle w:val="Compact"/>
            </w:pPr>
            <w:r>
              <w:t xml:space="preserve">0.640 (0.581–0.702)</w:t>
            </w:r>
          </w:p>
        </w:tc>
        <w:tc>
          <w:tcPr/>
          <w:p>
            <w:pPr>
              <w:pStyle w:val="Compact"/>
            </w:pPr>
            <w:r>
              <w:t xml:space="preserve">0.133 (0.115–0.152)</w:t>
            </w:r>
          </w:p>
        </w:tc>
        <w:tc>
          <w:tcPr/>
          <w:p>
            <w:pPr>
              <w:pStyle w:val="Compact"/>
            </w:pPr>
            <w:r>
              <w:t xml:space="preserve">1.34 (0.73–1.97)</w:t>
            </w:r>
          </w:p>
        </w:tc>
        <w:tc>
          <w:tcPr/>
          <w:p>
            <w:pPr>
              <w:pStyle w:val="Compact"/>
            </w:pPr>
            <w:r>
              <w:t xml:space="preserve">−0.007 (−0.036 to +0.020)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XGB</w:t>
            </w:r>
          </w:p>
        </w:tc>
        <w:tc>
          <w:tcPr/>
          <w:p>
            <w:pPr>
              <w:pStyle w:val="Compact"/>
            </w:pPr>
            <w:r>
              <w:t xml:space="preserve">0.655 (0.620–0.691)</w:t>
            </w:r>
          </w:p>
        </w:tc>
        <w:tc>
          <w:tcPr/>
          <w:p>
            <w:pPr>
              <w:pStyle w:val="Compact"/>
            </w:pPr>
            <w:r>
              <w:t xml:space="preserve">0.141 (0.129–0.154)</w:t>
            </w:r>
          </w:p>
        </w:tc>
        <w:tc>
          <w:tcPr/>
          <w:p>
            <w:pPr>
              <w:pStyle w:val="Compact"/>
            </w:pPr>
            <w:r>
              <w:t xml:space="preserve">1.45 (1.10–1.84)</w:t>
            </w:r>
          </w:p>
        </w:tc>
        <w:tc>
          <w:tcPr/>
          <w:p>
            <w:pPr>
              <w:pStyle w:val="Compact"/>
            </w:pPr>
            <w:r>
              <w:t xml:space="preserve">−0.007 (−0.028 to +0.011)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XGB</w:t>
            </w:r>
          </w:p>
        </w:tc>
        <w:tc>
          <w:tcPr/>
          <w:p>
            <w:pPr>
              <w:pStyle w:val="Compact"/>
            </w:pPr>
            <w:r>
              <w:t xml:space="preserve">0.682 (0.621–0.734)</w:t>
            </w:r>
          </w:p>
        </w:tc>
        <w:tc>
          <w:tcPr/>
          <w:p>
            <w:pPr>
              <w:pStyle w:val="Compact"/>
            </w:pPr>
            <w:r>
              <w:t xml:space="preserve">0.188 (0.172–0.204)</w:t>
            </w:r>
          </w:p>
        </w:tc>
        <w:tc>
          <w:tcPr/>
          <w:p>
            <w:pPr>
              <w:pStyle w:val="Compact"/>
            </w:pPr>
            <w:r>
              <w:t xml:space="preserve">1.41 (0.97–1.93)</w:t>
            </w:r>
          </w:p>
        </w:tc>
        <w:tc>
          <w:tcPr/>
          <w:p>
            <w:pPr>
              <w:pStyle w:val="Compact"/>
            </w:pPr>
            <w:r>
              <w:t xml:space="preserve">+0.007 (−0.028 to +0.049)</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XGB</w:t>
            </w:r>
          </w:p>
        </w:tc>
        <w:tc>
          <w:tcPr/>
          <w:p>
            <w:pPr>
              <w:pStyle w:val="Compact"/>
            </w:pPr>
            <w:r>
              <w:t xml:space="preserve">0.635 (0.617–0.654)</w:t>
            </w:r>
          </w:p>
        </w:tc>
        <w:tc>
          <w:tcPr/>
          <w:p>
            <w:pPr>
              <w:pStyle w:val="Compact"/>
            </w:pPr>
            <w:r>
              <w:t xml:space="preserve">0.134 (0.127–0.140)</w:t>
            </w:r>
          </w:p>
        </w:tc>
        <w:tc>
          <w:tcPr/>
          <w:p>
            <w:pPr>
              <w:pStyle w:val="Compact"/>
            </w:pPr>
            <w:r>
              <w:t xml:space="preserve">1.27 (1.10–1.43)</w:t>
            </w:r>
          </w:p>
        </w:tc>
        <w:tc>
          <w:tcPr/>
          <w:p>
            <w:pPr>
              <w:pStyle w:val="Compact"/>
            </w:pPr>
            <w:r>
              <w:t xml:space="preserve">+0.002 (−0.008 to +0.011)</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XGB</w:t>
            </w:r>
          </w:p>
        </w:tc>
        <w:tc>
          <w:tcPr/>
          <w:p>
            <w:pPr>
              <w:pStyle w:val="Compact"/>
            </w:pPr>
            <w:r>
              <w:t xml:space="preserve">0.650 (0.593–0.707)</w:t>
            </w:r>
          </w:p>
        </w:tc>
        <w:tc>
          <w:tcPr/>
          <w:p>
            <w:pPr>
              <w:pStyle w:val="Compact"/>
            </w:pPr>
            <w:r>
              <w:t xml:space="preserve">0.134 (0.116–0.153)</w:t>
            </w:r>
          </w:p>
        </w:tc>
        <w:tc>
          <w:tcPr/>
          <w:p>
            <w:pPr>
              <w:pStyle w:val="Compact"/>
            </w:pPr>
            <w:r>
              <w:t xml:space="preserve">1.39 (0.82–2.01)</w:t>
            </w:r>
          </w:p>
        </w:tc>
        <w:tc>
          <w:tcPr/>
          <w:p>
            <w:pPr>
              <w:pStyle w:val="Compact"/>
            </w:pPr>
            <w:r>
              <w:t xml:space="preserve">+0.012 (−0.019 to +0.040)</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XGB</w:t>
            </w:r>
          </w:p>
        </w:tc>
        <w:tc>
          <w:tcPr/>
          <w:p>
            <w:pPr>
              <w:pStyle w:val="Compact"/>
            </w:pPr>
            <w:r>
              <w:t xml:space="preserve">0.693 (0.665–0.720)</w:t>
            </w:r>
          </w:p>
        </w:tc>
        <w:tc>
          <w:tcPr/>
          <w:p>
            <w:pPr>
              <w:pStyle w:val="Compact"/>
            </w:pPr>
            <w:r>
              <w:t xml:space="preserve">0.146 (0.137–0.156)</w:t>
            </w:r>
          </w:p>
        </w:tc>
        <w:tc>
          <w:tcPr/>
          <w:p>
            <w:pPr>
              <w:pStyle w:val="Compact"/>
            </w:pPr>
            <w:r>
              <w:t xml:space="preserve">1.38 (1.18–1.59)</w:t>
            </w:r>
          </w:p>
        </w:tc>
        <w:tc>
          <w:tcPr/>
          <w:p>
            <w:pPr>
              <w:pStyle w:val="Compact"/>
            </w:pPr>
            <w:r>
              <w:t xml:space="preserve">−0.006 (−0.022 to +0.009)</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XGB</w:t>
            </w:r>
          </w:p>
        </w:tc>
        <w:tc>
          <w:tcPr/>
          <w:p>
            <w:pPr>
              <w:pStyle w:val="Compact"/>
            </w:pPr>
            <w:r>
              <w:t xml:space="preserve">0.627 (0.607–0.647)</w:t>
            </w:r>
          </w:p>
        </w:tc>
        <w:tc>
          <w:tcPr/>
          <w:p>
            <w:pPr>
              <w:pStyle w:val="Compact"/>
            </w:pPr>
            <w:r>
              <w:t xml:space="preserve">0.135 (0.129–0.141)</w:t>
            </w:r>
          </w:p>
        </w:tc>
        <w:tc>
          <w:tcPr/>
          <w:p>
            <w:pPr>
              <w:pStyle w:val="Compact"/>
            </w:pPr>
            <w:r>
              <w:t xml:space="preserve">1.14 (0.97–1.31)</w:t>
            </w:r>
          </w:p>
        </w:tc>
        <w:tc>
          <w:tcPr/>
          <w:p>
            <w:pPr>
              <w:pStyle w:val="Compact"/>
            </w:pPr>
            <w:r>
              <w:t xml:space="preserve">+0.001 (−0.009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22"/>
    <w:bookmarkStart w:id="26" w:name="s9.4-adjusted-subgroup-comparisons"/>
    <w:p>
      <w:pPr>
        <w:pStyle w:val="Heading2"/>
      </w:pPr>
      <w:r>
        <w:t xml:space="preserve">S9.4 Adjusted Subgroup Comparisons</w:t>
      </w:r>
    </w:p>
    <w:p>
      <w:pPr>
        <w:pStyle w:val="FirstParagraph"/>
      </w:pPr>
      <w:r>
        <w:t xml:space="preserve">Of 240 contrasts, 58 had unadjusted CIs excluding zero and 23 survived Benjamini–Hochberg adjustment (Table S12; each surviving model is drawn in manuscript Figure 5).</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BodyText"/>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the 2 leading models, calibration slopes in White patients and in patients with other recorded racial categories were 0.97 (95% CI 0.87–1.08) and 0.95 (95% CI 0.74–1.16) for embedded logistic regression, and 1.28 (95% CI 1.14–1.44) and 1.07 (95% CI 0.75–1.36) for feature-vector XGBoost.</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24" name="Picture"/>
            <a:graphic>
              <a:graphicData uri="http://schemas.openxmlformats.org/drawingml/2006/picture">
                <pic:pic>
                  <pic:nvPicPr>
                    <pic:cNvPr descr="../results/review/subgroups/subgroup_forest.png" id="25" name="Picture"/>
                    <pic:cNvPicPr>
                      <a:picLocks noChangeArrowheads="1" noChangeAspect="1"/>
                    </pic:cNvPicPr>
                  </pic:nvPicPr>
                  <pic:blipFill>
                    <a:blip r:embed="rId23"/>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S13. Subgroup discrimination across sociodemographic strata, one representative model per arm (embedded logistic regression, feature-vector XGBoost, and logistic-regression-weighted retrieval at k = 295, the leading model of each), Qwen3-Embedding-8B, with 95% bootstrap confidence intervals. The dotted line marks chance. Strata declared not estimable are omitted.</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2026-10-10T14:39:23Z</dcterms:created>
  <dcterms:modified xsi:type="dcterms:W3CDTF">2026-10-10T14:39:23Z</dcterms:modified>
</cp:coreProperties>
</file>

<file path=docProps/custom.xml><?xml version="1.0" encoding="utf-8"?>
<Properties xmlns="http://schemas.openxmlformats.org/officeDocument/2006/custom-properties" xmlns:vt="http://schemas.openxmlformats.org/officeDocument/2006/docPropsVTypes"/>
</file>