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10-representation-field-crosswalk"/>
    <w:p>
      <w:pPr>
        <w:pStyle w:val="Heading1"/>
      </w:pPr>
      <w:r>
        <w:t xml:space="preserve">S10 Representation Field Crosswalk</w:t>
      </w:r>
    </w:p>
    <w:p>
      <w:pPr>
        <w:pStyle w:val="FirstParagraph"/>
      </w:pPr>
      <w:r>
        <w:t xml:space="preserve">Table S13 documents how the pipelines encode each source field, based on scripts/data_loading/feature_vector.py and scripts/data_loading/deterministic_narrative.py. It distinguishes shared information from differences in field content and resolution.</w:t>
      </w:r>
    </w:p>
    <w:p>
      <w:pPr>
        <w:pStyle w:val="BodyText"/>
      </w:pPr>
      <w:r>
        <w:t xml:space="preserve">Fields were available by the index date. Clinical content used the 730-day lookback, while recorded history length summarized the longer pre-index record and index date identified the prediction date. Neither representation used post-index clinical data.</w:t>
      </w:r>
    </w:p>
    <w:p>
      <w:pPr>
        <w:pStyle w:val="BodyText"/>
      </w:pPr>
      <w:r>
        <w:t xml:space="preserve">Table S13. Field-level crosswalk. Asymmetric marks a row where the two representations do not receive the same information. Missing-value rules are as implemented, not as intended.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Feature-matrix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Narrative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Missing-value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recurrence,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categorical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Condition: MDD (recurrence, severity)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string is a level in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date: 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Lookback window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column (constant)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window: −730...0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(carries no information)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MDD-to-index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mdd_to_anchor_days,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MDD-to-anchor gap: N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 count in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num_encounters,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Encounters in window: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inside lookback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mdd_within_window, 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MDD within window: Present/Absent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pre-index history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pre_anchor_history_days,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rendered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AgeInYears,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AgeInYears: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Sex: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value becomes its own one-hot level; narrative prints the raw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/ 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categorical, seven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Race_Ethnicity: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one-hot level; narrative prints raw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categorical, collapsed to five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categorical, collapsed to five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categorical, collapsed to five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categorical, collapsed to three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Sexual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SexualOrientation: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as the literal token nan when recorded-but-empty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determinants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boolean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SDOH: list of present categories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is an explicit False in the matrix, an omission from the list in the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in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BMI, systolic BP, diastolic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at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BMI: N | BP (mean): S/D, or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dropped, so no rule; narrative prints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comorbidity (8 flags)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boolean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ARM: Present/Absent for all 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Suicidality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SUICIDE FLAG (2y): Present/Absent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Substance-use specifics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boolean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of present substances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explicit in matrix, omitted in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in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medical comorbidity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boolean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ARM: Present/Absent for all four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adequate AD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per-class trial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adequate AD trials: CLASS: n for all 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Benzodiazepine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benzo_days_coverage,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Benzodiazepine days (2y):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Hypnotics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hypnotics_burden, count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plus ingredient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polypharmacy_count, count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plus ingredient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nsaid_count, count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plus ingredient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inpatient days, ED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float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 inpatient days: N | ED psych visits: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Prescribing-safety comorbidity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boolean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ARM: Present/Absent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</w:tbl>
    <w:p>
      <w:pPr>
        <w:pStyle w:val="BodyText"/>
      </w:pPr>
      <w:r>
        <w:t xml:space="preserve">Eleven rows are asymmetric. Ten provide additional or finer information to the narrative, including index date, sexual orientation, vital signs, 4 sociodemographic categories, and 3 medication blocks. Recorded history length is available only to FEATURE. The primary comparison therefore cannot isolate encoding from information content.</w:t>
      </w:r>
    </w:p>
    <w:p>
      <w:pPr>
        <w:pStyle w:val="BodyText"/>
      </w:pPr>
      <w:r>
        <w:t xml:space="preserve">FEATURE retains categorical missingness as explicit levels. Its primary vital-sign fields were dropped rather than imputed; narratives retained measured values or missing-value tokens. The raw sexual-orientation token nan is a further implementation-specific exception to the general missing-value convention.</w:t>
      </w:r>
    </w:p>
    <w:p>
      <w:pPr>
        <w:pStyle w:val="BodyText"/>
      </w:pPr>
      <w:r>
        <w:t xml:space="preserve">A sensitivity analysis added vital signs to FEATURE using missingness indicators and within-fold median imputation and added recorded history length to the narratives. The best-model contrast was reported to remain nonsignificant. These changes address selected asymmetries, not all differences listed above. Quantitative results are not included here and are available from the corresponding author.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2026-10-10T14:39:23Z</dcterms:created>
  <dcterms:modified xsi:type="dcterms:W3CDTF">2026-10-10T14:39:23Z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