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a518fb6f86db204292aaffc1ae02b02d401201"/>
    <w:p>
      <w:pPr>
        <w:pStyle w:val="Heading1"/>
      </w:pPr>
      <w:r>
        <w:t xml:space="preserve">S11 Cohort Characteristics and Outcome Frequency</w:t>
      </w:r>
    </w:p>
    <w:p>
      <w:pPr>
        <w:pStyle w:val="FirstParagraph"/>
      </w:pPr>
      <w:r>
        <w:t xml:space="preserve">Within-subgroup outcome frequency divides positive patients by all patients in that subgroup. This differs from the outcome-conditioned column percentages in the cohort table below. All frequencies describe the enriched analytic sample.</w:t>
      </w:r>
    </w:p>
    <w:p>
      <w:pPr>
        <w:pStyle w:val="BodyText"/>
      </w:pPr>
      <w:r>
        <w:t xml:space="preserve">Outcome frequency was 18.0% (95% CI 17.6–18.4) among female and 16.2% (95% CI 15.6–16.9) among male patients. It declined across age groups: 20.6% (95% CI 19.5–21.7) at 18–29 years (1,135/5,513), 20.3% (95% CI 19.5–21.2) at 30–44 (1,836/9,025), 18.4% (95% CI 17.8–19.1) at 45–64 (2,445/13,268), and 13.8% (95% CI 13.3–14.4) at 65 or older (2,039/14,773). Selected social-determinant strata had higher frequencies: upbringing-related issues, 33.0% (95% CI 27.3–39.3); legal issues, 26.1% (95% CI 18.9–34.8); employment issues, 24.0% (95% CI 17.9–31.4); and family or support-group issues, 22.9% (95% CI 20.0–26.2). Small counts limit these comparisons. Missing race/ethnicity was associated with a frequency of 15.5% (46/297; 95% CI 11.8–20.0), versus 17.5% (95% CI 17.2–17.9) overall.</w:t>
      </w:r>
    </w:p>
    <w:p>
      <w:pPr>
        <w:pStyle w:val="BodyText"/>
      </w:pPr>
      <w:r>
        <w:t xml:space="preserve">Table S14. Expanded cohort characteristics by TRD proxy status. Values are median (IQR) or n (%); percentages within outcome columns use the corresponding outcome-group denominator. SMD: standardized mean difference; AD: antidepressant; ED: emergency department; MDD: major depressive disorder; PTSD: posttraumatic stress disorder. Total N=42,579; positive n=7,455; negative n=35,124.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TRD+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TRD−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(38–70)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(36–66)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(39–71)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5,513 (12.9%)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1,135 (15.2%)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4,378 (12.5%)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9,025 (21.2%)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1,836 (24.6%)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7,189 (20.5%)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45–64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13,268 (31.2%)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2,445 (32.8%)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10,823 (30.8%)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14,773 (34.7%)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2,039 (27.4%)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12,734 (36.3%)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30,850 (72.5%)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5,552 (74.5%)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25,298 (72.0%)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34,079 (80.0%)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5,942 (79.7%)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28,137 (80.1%)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Black/African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1,967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Am. Indian/Alaska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2,033 (4.8%)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 (5.3%)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1,639 (4.7%)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(0.6%)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 (0.7%)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Depression phenotype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11,213 (26.3%)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2,189 (29.4%)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9,024 (25.7%)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Single 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28,206 (66.2%)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4,721 (63.3%)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23,485 (66.9%)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2,286 (5.4%)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(9.7%)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1,566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7,233 (17.0%)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 (17.4%)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5,933 (16.9%)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Psychotic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(0.3%)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(0.2%)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28,951 (68.0%)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4,803 (64.4%)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24,148 (68.8%)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and substance comorbidity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Suicidality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1,753 (4.1%)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 (8.6%)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1,112 (3.2%)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Anxiety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22,401 (52.6%)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4,499 (60.3%)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17,902 (51.0%)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Substance use disorder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9,265 (21.8%)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2,006 (26.9%)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7,259 (20.7%)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Insomnia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9,350 (22.0%)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2,021 (27.1%)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7,329 (20.9%)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1,541 (3.6%)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(6.0%)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1,091 (3.1%)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 use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1,875 (4.4%)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 (6.7%)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1,374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Opioid use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1,281 (3.0%)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 (4.5%)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 (2.7%)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2,918 (6.9%)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 (8.9%)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 (6.4%)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comorbidity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cholesterol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15,747 (37.0%)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2,202 (29.5%)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13,545 (38.6%)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Uncontrolled 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15,680 (36.8%)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2,366 (31.7%)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13,314 (37.9%)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 and utilization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med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(8–46)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(6–40)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(8–47)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Pre-index history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1,792 (1,216–2,546)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1,629 (1,141–2,335)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1,830 (1,239–2,587)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prior treatment exposure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10,230 (24.0%)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1,793 (24.1%)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8,437 (24.0%)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adequate AD trial (any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6,276 (14.7%)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 (14.1%)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5,226 (14.9%)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Benzodiazepine days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4,724 (11.1%)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 (13.3%)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3,735 (10.6%)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Hypnotic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1,661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1,369 (3.9%)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Augmentation therapy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(1.0%)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 (0.9%)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2026-10-10T14:39:23Z</dcterms:created>
  <dcterms:modified xsi:type="dcterms:W3CDTF">2026-10-10T14:39:23Z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