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sults"/>
    <w:p>
      <w:pPr>
        <w:pStyle w:val="Heading1"/>
      </w:pPr>
      <w:r>
        <w:t xml:space="preserve">Results</w:t>
      </w:r>
    </w:p>
    <w:bookmarkStart w:id="20"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0"/>
    <w:bookmarkStart w:id="24"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22" name="Picture"/>
            <a:graphic>
              <a:graphicData uri="http://schemas.openxmlformats.org/drawingml/2006/picture">
                <pic:pic>
                  <pic:nvPicPr>
                    <pic:cNvPr descr="../results/Qwen-Qwen3-Embedding-8B/google_medgemma-27b-text-it/discrimination_forest_EMBEDDED_vs_FEATURE.png" id="23" name="Picture"/>
                    <pic:cNvPicPr>
                      <a:picLocks noChangeArrowheads="1" noChangeAspect="1"/>
                    </pic:cNvPicPr>
                  </pic:nvPicPr>
                  <pic:blipFill>
                    <a:blip r:embed="rId21"/>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24"/>
    <w:bookmarkStart w:id="2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26" name="Picture"/>
            <a:graphic>
              <a:graphicData uri="http://schemas.openxmlformats.org/drawingml/2006/picture">
                <pic:pic>
                  <pic:nvPicPr>
                    <pic:cNvPr descr="../results/cross_embedder_robustness_EMBEDDED.png" id="27" name="Picture"/>
                    <pic:cNvPicPr>
                      <a:picLocks noChangeArrowheads="1" noChangeAspect="1"/>
                    </pic:cNvPicPr>
                  </pic:nvPicPr>
                  <pic:blipFill>
                    <a:blip r:embed="rId25"/>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28"/>
    <w:bookmarkStart w:id="32" w:name="nearest-neighbor-retrieval"/>
    <w:p>
      <w:pPr>
        <w:pStyle w:val="Heading2"/>
      </w:pPr>
      <w:r>
        <w:t xml:space="preserve">Nearest-Neighbor Retrieval</w:t>
      </w:r>
    </w:p>
    <w:p>
      <w:pPr>
        <w:pStyle w:val="FirstParagraph"/>
      </w:pPr>
      <w:r>
        <w:t xml:space="preserve">Retrieval is reported as a curve over neighborhood size (Figure 4D for the primary encoder).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These stay above chance because each neighbor’s vote is weighted by its similarity, so the same 34,063 neighbors are weighed differently for each patient. With equal weights, every patient would get the same score and ROC AUC would be exactly 0.5, which is what random retrieval gave at k = 34,063. ROC curves and confusion matrices at each arm’s best k are in Multimedia Appendix 1, section S6.</w:t>
      </w:r>
    </w:p>
    <w:p>
      <w:pPr>
        <w:pStyle w:val="BodyText"/>
      </w:pPr>
      <w:r>
        <w:drawing>
          <wp:inline>
            <wp:extent cx="5486400" cy="5035534"/>
            <wp:effectExtent b="0" l="0" r="0" t="0"/>
            <wp:docPr descr="" title="" id="30" name="Picture"/>
            <a:graphic>
              <a:graphicData uri="http://schemas.openxmlformats.org/drawingml/2006/picture">
                <pic:pic>
                  <pic:nvPicPr>
                    <pic:cNvPr descr="../results/cross_embedder_retrieval/neighbor_count_sweep_panels.png" id="31" name="Picture"/>
                    <pic:cNvPicPr>
                      <a:picLocks noChangeArrowheads="1" noChangeAspect="1"/>
                    </pic:cNvPicPr>
                  </pic:nvPicPr>
                  <pic:blipFill>
                    <a:blip r:embed="rId29"/>
                    <a:stretch>
                      <a:fillRect/>
                    </a:stretch>
                  </pic:blipFill>
                  <pic:spPr bwMode="auto">
                    <a:xfrm>
                      <a:off x="0" y="0"/>
                      <a:ext cx="5486400" cy="5035534"/>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for the 4 encoders: (A) bge-small-en-v1.5, (B) bge-en-icl, (C) Qwen3-Embedding-4B, and (D) Qwen3-Embedding-8B, the primary encoder. Each panel title gives the encoder’s number of embedding dimensions. Each panel draws ROC AUC in 8,516 test patients at every k from 1 to 34,063. Lines are the retrieval arms: logistic-regression-weighted and plain cosine retrieval with bootstrap 95% bands, and random retrieval with uniform weights, as the mean across 1,000 draws within the 2.5th–97.5th percentile of the draws. Each encoder’s weights come from its own embedded logistic regression. Random retrieval does not use the embedding, so it is the same in every panel. Diamonds mark each arm’s best k, chosen on the test patients, so the values there are optimistic; the random arm’s best k is noise. Each panel’s best-k values are listed beneath it. Horizontal lines mark that encoder’s embedded logistic regression and feature-vector XGBoost, which is the same in every panel. Curves use α = 1; for the primary encoder, the maxima under α = 1, 2, and 5 agreed within 0.002.</w:t>
      </w:r>
    </w:p>
    <w:bookmarkEnd w:id="32"/>
    <w:bookmarkStart w:id="33"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4A–D).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and its interval includes zero. Agreement in direction across 4 encoders does not show that weighting helps, because each maximum was read at its own best k.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t xml:space="preserve">Best k followed no clear pattern. Two encoders with the same 4,096 dimensions moved in opposite directions when weighting was added: best k rose from 413 to 1,519 for bge-en-icl and fell from 757 to 295 for Qwen3-Embedding-8B. The curves were flat near their peaks, which accounts for much of this. For every encoder and metric, ROC AUC stayed within 0.005 of its maximum over a wide range of k. That range began between k = 164 and 549 and ended between k = 1,613 and the whole pool of 34,063. These ranges describe the observed curves and carry no sampling interval. On a curve this flat, a small change in the patients can move the best k a long way while barely changing ROC AUC. The range of k that performs near the peak is more informative than the single best k.</w:t>
      </w:r>
    </w:p>
    <w:p>
      <w:pPr>
        <w:pStyle w:val="BodyText"/>
      </w:pPr>
      <w:r>
        <w:t xml:space="preserve">Best k also did not follow how many embedding dimensions each logistic regression relied on, whether counted directly or as a share of the encoder’s dimensions (Multimedia Appendix 1, section S6, Figures S10–S11).</w:t>
      </w:r>
    </w:p>
    <w:bookmarkEnd w:id="33"/>
    <w:bookmarkStart w:id="37" w:name="subgroup-performance"/>
    <w:p>
      <w:pPr>
        <w:pStyle w:val="Heading2"/>
      </w:pPr>
      <w:r>
        <w:t xml:space="preserve">Subgroup Performance</w:t>
      </w:r>
    </w:p>
    <w:p>
      <w:pPr>
        <w:pStyle w:val="FirstParagraph"/>
      </w:pPr>
      <w:r>
        <w:t xml:space="preserve">Subgroup analyses covered all 8 classifiers and both nearest-neighbor arms, for the primary encoder; each retrieval arm was scored at its best k. Each contrast compared one group’s ROC AUC with that of all other test patients, for the same model. The groups were of 2 kinds. Sociodemographic groups (sex, race, age, marital status, smoking, and religion) ask whether the models work equally well for different people. Clinical groups (MDD recurrence and severity) ask whether they work equally well across ways the illness was recorded.</w:t>
      </w:r>
    </w:p>
    <w:p>
      <w:pPr>
        <w:pStyle w:val="BodyText"/>
      </w:pPr>
      <w:r>
        <w:t xml:space="preserve">Of 240 contrasts, 23 survived Benjamini–Hochberg adjustment for multiple comparisons, and both kinds of group contributed (Figure 5). Nineteen were clinical, all involving recurrence. Every model discriminated better in patients coded with recurrent depression, by +0.053 (95% CI +0.022 to +0.085) to +0.072 (95% CI +0.041 to +0.104). Nine of 10 discriminated worse in patients coded with a single episode, by −0.047 (95% CI −0.079 to −0.014) to −0.071 (95% CI −0.105 to −0.039). These describe how the illness was recorded, not who the patients are, so they are not fairness findings.</w:t>
      </w:r>
    </w:p>
    <w:p>
      <w:pPr>
        <w:pStyle w:val="BodyText"/>
      </w:pPr>
      <w:r>
        <w:t xml:space="preserve">The other 4 were sociodemographic. Discrimination was lower among never-married patients for 2 embedded classifiers and logistic-regression-weighted retrieval, by −0.047 (95% CI −0.080 to −0.012) to −0.054 (95% CI −0.090 to −0.019). It was lower among patients aged 18–29 for feature-vector XGBoost, by −0.068 (95% CI −0.117 to −0.022). Sex contrasts did not show clear differences. White-minus-non-White ROC AUC differences were consistently positive, from +0.005 (95% CI −0.031 to +0.042) to +0.046 (95% CI +0.006 to +0.087), but none survived adjustment. These findings do not establish equitable performance. Calibration within each subgroup is in Multimedia Appendix 1, section S9.</w:t>
      </w:r>
    </w:p>
    <w:p>
      <w:pPr>
        <w:pStyle w:val="BodyText"/>
      </w:pPr>
      <w:r>
        <w:drawing>
          <wp:inline>
            <wp:extent cx="5029200" cy="5297567"/>
            <wp:effectExtent b="0" l="0" r="0" t="0"/>
            <wp:docPr descr="" title="" id="35" name="Picture"/>
            <a:graphic>
              <a:graphicData uri="http://schemas.openxmlformats.org/drawingml/2006/picture">
                <pic:pic>
                  <pic:nvPicPr>
                    <pic:cNvPr descr="../results/review/subgroups/subgroup_surviving_contrasts.png" id="36" name="Picture"/>
                    <pic:cNvPicPr>
                      <a:picLocks noChangeArrowheads="1" noChangeAspect="1"/>
                    </pic:cNvPicPr>
                  </pic:nvPicPr>
                  <pic:blipFill>
                    <a:blip r:embed="rId34"/>
                    <a:stretch>
                      <a:fillRect/>
                    </a:stretch>
                  </pic:blipFill>
                  <pic:spPr bwMode="auto">
                    <a:xfrm>
                      <a:off x="0" y="0"/>
                      <a:ext cx="5029200" cy="529756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Subgroup contrasts that survived Benjamini–Hochberg adjustment across 240 contrasts, for the primary encoder. Each row is one model’s ROC AUC in the named group minus its ROC AUC in all other test patients, with a bootstrap 95% CI. Every model whose contrast survived is shown; the other 217 contrasts did not survive. Multimedia Appendix 1, section S9 gives discrimination and calibration within each subgroup for one model per approach and summarizes the sex and race contrasts. Clinical groups describe how depression was recorded; sociodemographic groups describe the patients. Group sizes and outcome counts are for the test patients. Retrieval arms are scored at their best k, chosen on the test patients. LR: logistic regression; MDD: major depressive disorder.</w:t>
      </w:r>
    </w:p>
    <w:bookmarkEnd w:id="37"/>
    <w:bookmarkEnd w:id="3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2026-10-10T14:28:24Z</dcterms:created>
  <dcterms:modified xsi:type="dcterms:W3CDTF">2026-10-10T14:28:24Z</dcterms:modified>
</cp:coreProperties>
</file>

<file path=docProps/custom.xml><?xml version="1.0" encoding="utf-8"?>
<Properties xmlns="http://schemas.openxmlformats.org/officeDocument/2006/custom-properties" xmlns:vt="http://schemas.openxmlformats.org/officeDocument/2006/docPropsVTypes"/>
</file>