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12-evaluation-coverage"/>
    <w:p>
      <w:pPr>
        <w:pStyle w:val="Heading1"/>
      </w:pPr>
      <w:r>
        <w:t xml:space="preserve">M12 Evaluation Coverage</w:t>
      </w:r>
    </w:p>
    <w:p>
      <w:pPr>
        <w:pStyle w:val="FirstParagraph"/>
      </w:pPr>
      <w:r>
        <w:t xml:space="preserve">Standard classifiers, encoder comparisons, and concept permutations used the full cohort and common test split. All 4 encoders received both similarity metrics, random retrieval, and the neighborhood-size sweep under the same rules, each weighted by its own embedded logistic regression (manuscript, Nearest-Neighbor Retrieval Across Encoders; manuscript Figure 4; section S6). ROC curves and confusion matrices at best k are reported for all 4 encoders (section S6). Paired contrasts, the precision–recall and calibration panels at best k (sections S2–S3), and the subgroup analyses describe the primary encoder only.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2026-10-10T14:28:27Z</dcterms:created>
  <dcterms:modified xsi:type="dcterms:W3CDTF">2026-10-10T14:28:27Z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