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7-record-length-and-prediction"/>
    <w:p>
      <w:pPr>
        <w:pStyle w:val="Heading1"/>
      </w:pPr>
      <w:r>
        <w:t xml:space="preserve">S7 Record Length and Prediction</w:t>
      </w:r>
    </w:p>
    <w:p>
      <w:pPr>
        <w:pStyle w:val="FirstParagraph"/>
      </w:pPr>
      <w:r>
        <w:t xml:space="preserve">We examined record volume descriptively by correlating the outcome with history length, encounter count, and the diagnosis-to-index interval, then assessed neighbor-prediction discrimination across history-length quintiles.</w:t>
      </w:r>
    </w:p>
    <w:p>
      <w:pPr>
        <w:pStyle w:val="BodyText"/>
      </w:pPr>
      <w:r>
        <w:t xml:space="preserve">Using the full recorded history, outcome correlations were small: Spearman ρ=−0.073 (95% CI −0.082 to −0.064) for pre-index history length, −0.064 (95% CI −0.073 to −0.054) for encounter count, and −0.029 (95% CI −0.038 to −0.020) for diagnosis-to-index interval. Prescribing on the day of diagnosis or the next day occurred in 27,906 patients, with outcome frequency 18.4% (95% CI 17.9–18.8), compared with 14,673 patients and 15.9% (95% CI 15.3–16.5) for later prescribing (Figure S12). These weak marginal relationships do not rule out care-process contributions to prediction.</w:t>
      </w:r>
    </w:p>
    <w:p>
      <w:pPr>
        <w:pStyle w:val="BodyText"/>
      </w:pPr>
      <w:r>
        <w:t xml:space="preserve">A Pre-index history length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results/notebook_figures/density_pre_anchor_history_day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Diagnosis-to-index interval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results/notebook_figures/density_mdd_to_anchor_day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 Encounter count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results/notebook_figures/density_num_encount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 Outcome frequency by prescription timing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results/review/metric_intervals/trd_rate_by_prescription_tim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S12. Record length, diagnosis-to-index interval, encounter count, and outcome frequency by prescription timing. A–C show outcome-stratified distributions; axes are truncated as labeled. D compares prescribing within 1 day of diagnosis (the day of diagnosis or the next day) with prescribing 2 or more days later. Bars carry Wilson 95% CIs, and each bar is labeled with its outcome frequency and counts. The dashed line is the cohort outcome frequency, 17.5%, with its 95% CI (17.2–17.9) shaded.</w:t>
      </w:r>
    </w:p>
    <w:p>
      <w:pPr>
        <w:pStyle w:val="BodyText"/>
      </w:pPr>
      <w:r>
        <w:t xml:space="preserve">The held-out test set was divided into quintiles of pre-index history length, and each retrieval arm was scored within each quintile at its own best k from section S6 (Table S8). The best k was chosen on all test patients, so these values are optimistic in the same way.</w:t>
      </w:r>
    </w:p>
    <w:p>
      <w:pPr>
        <w:pStyle w:val="BodyText"/>
      </w:pPr>
      <w:r>
        <w:t xml:space="preserve">Table S8. Neighbor-prediction ROC AUC by quintile of pre-index history length (embedded representation, held-out test set,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1), with bootstrap 95% CIs within each quintile. Days are the quintile’s bounds of pre-index history. Weighted: logistic-regression-weighted cosine; plain: plain cosine. Random retrieval uses uniform weights and the draw whose AUC at its best k is closest to the mean of 1,000 draws.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685"/>
        <w:gridCol w:w="685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Weighted, k = 295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Plain, k = 757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Random, k = 32,720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731–1,110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0.625 (0.592–0.657)</w:t>
            </w:r>
          </w:p>
        </w:tc>
        <w:tc>
          <w:tcPr/>
          <w:p>
            <w:pPr>
              <w:pStyle w:val="Compact"/>
            </w:pPr>
            <w:r>
              <w:t xml:space="preserve">0.619 (0.585–0.651)</w:t>
            </w:r>
          </w:p>
        </w:tc>
        <w:tc>
          <w:tcPr/>
          <w:p>
            <w:pPr>
              <w:pStyle w:val="Compact"/>
            </w:pPr>
            <w:r>
              <w:t xml:space="preserve">0.479 (0.447–0.513)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1,111–1,554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0.624 (0.590–0.658)</w:t>
            </w:r>
          </w:p>
        </w:tc>
        <w:tc>
          <w:tcPr/>
          <w:p>
            <w:pPr>
              <w:pStyle w:val="Compact"/>
            </w:pPr>
            <w:r>
              <w:t xml:space="preserve">0.619 (0.584–0.652)</w:t>
            </w:r>
          </w:p>
        </w:tc>
        <w:tc>
          <w:tcPr/>
          <w:p>
            <w:pPr>
              <w:pStyle w:val="Compact"/>
            </w:pPr>
            <w:r>
              <w:t xml:space="preserve">0.526 (0.489–0.561)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1,555–2,066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0.600 (0.564–0.636)</w:t>
            </w:r>
          </w:p>
        </w:tc>
        <w:tc>
          <w:tcPr/>
          <w:p>
            <w:pPr>
              <w:pStyle w:val="Compact"/>
            </w:pPr>
            <w:r>
              <w:t xml:space="preserve">0.608 (0.572–0.643)</w:t>
            </w:r>
          </w:p>
        </w:tc>
        <w:tc>
          <w:tcPr/>
          <w:p>
            <w:pPr>
              <w:pStyle w:val="Compact"/>
            </w:pPr>
            <w:r>
              <w:t xml:space="preserve">0.531 (0.492–0.564)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2,067–2,733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0.633 (0.598–0.669)</w:t>
            </w:r>
          </w:p>
        </w:tc>
        <w:tc>
          <w:tcPr/>
          <w:p>
            <w:pPr>
              <w:pStyle w:val="Compact"/>
            </w:pPr>
            <w:r>
              <w:t xml:space="preserve">0.626 (0.592–0.663)</w:t>
            </w:r>
          </w:p>
        </w:tc>
        <w:tc>
          <w:tcPr/>
          <w:p>
            <w:pPr>
              <w:pStyle w:val="Compact"/>
            </w:pPr>
            <w:r>
              <w:t xml:space="preserve">0.487 (0.449–0.523)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2,734–5,288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0.619 (0.580–0.655)</w:t>
            </w:r>
          </w:p>
        </w:tc>
        <w:tc>
          <w:tcPr/>
          <w:p>
            <w:pPr>
              <w:pStyle w:val="Compact"/>
            </w:pPr>
            <w:r>
              <w:t xml:space="preserve">0.598 (0.561–0.636)</w:t>
            </w:r>
          </w:p>
        </w:tc>
        <w:tc>
          <w:tcPr/>
          <w:p>
            <w:pPr>
              <w:pStyle w:val="Compact"/>
            </w:pPr>
            <w:r>
              <w:t xml:space="preserve">0.479 (0.437–0.519)</w:t>
            </w:r>
          </w:p>
        </w:tc>
      </w:tr>
    </w:tbl>
    <w:p>
      <w:pPr>
        <w:pStyle w:val="BodyText"/>
      </w:pPr>
      <w:r>
        <w:t xml:space="preserve">AUC ranged from 0.600 to 0.633 for logistic-regression-weighted and 0.598 to 0.626 for plain cosine retrieval, without a monotonic trend, and every quintile’s interval overlapped the others. Random retrieval stayed near 0.5, and its interval included 0.5 in every quintile. This does not establish independence from record volume; differing case mix and imprecision within strata limit interpretation.</w:t>
      </w:r>
    </w:p>
    <w:p>
      <w:pPr>
        <w:pStyle w:val="BodyText"/>
      </w:pPr>
      <w:r>
        <w:t xml:space="preserve">The stratification covers neighbor prediction only, not the trained classifiers. Each quintile contained about 1,700 patients.</w:t>
      </w:r>
    </w:p>
    <w:bookmarkEnd w:id="32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2026-10-10T14:28:29Z</dcterms:created>
  <dcterms:modified xsi:type="dcterms:W3CDTF">2026-10-10T14:28:29Z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