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Characteristic</w:t>
            </w:r>
          </w:p>
        </w:tc>
        <w:tc>
          <w:tcPr/>
          <w:p>
            <w:pPr>
              <w:pStyle w:val="Compact"/>
              <w:jc w:val="left"/>
            </w:pPr>
            <w:r>
              <w:rPr>
                <w:b/>
                <w:bCs/>
              </w:rPr>
              <w:t xml:space="preserve">Training</w:t>
            </w:r>
          </w:p>
        </w:tc>
        <w:tc>
          <w:tcPr/>
          <w:p>
            <w:pPr>
              <w:pStyle w:val="Compact"/>
              <w:jc w:val="left"/>
            </w:pPr>
            <w:r>
              <w:rPr>
                <w:b/>
                <w:bCs/>
              </w:rPr>
              <w:t xml:space="preserve">Held-out</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55 (38-70)</w:t>
            </w:r>
          </w:p>
        </w:tc>
        <w:tc>
          <w:tcPr/>
          <w:p>
            <w:pPr>
              <w:pStyle w:val="Compact"/>
              <w:jc w:val="left"/>
            </w:pPr>
            <w:r>
              <w:t xml:space="preserve">-0.014</w:t>
            </w:r>
          </w:p>
        </w:tc>
      </w:tr>
      <w:tr>
        <w:tc>
          <w:tcPr/>
          <w:p>
            <w:pPr>
              <w:pStyle w:val="Compact"/>
              <w:jc w:val="left"/>
            </w:pPr>
            <w:r>
              <w:t xml:space="preserve">Age band: 18-29</w:t>
            </w:r>
          </w:p>
        </w:tc>
        <w:tc>
          <w:tcPr/>
          <w:p>
            <w:pPr>
              <w:pStyle w:val="Compact"/>
              <w:jc w:val="left"/>
            </w:pPr>
            <w:r>
              <w:t xml:space="preserve">4,428 (13.0%)</w:t>
            </w:r>
          </w:p>
        </w:tc>
        <w:tc>
          <w:tcPr/>
          <w:p>
            <w:pPr>
              <w:pStyle w:val="Compact"/>
              <w:jc w:val="left"/>
            </w:pPr>
            <w:r>
              <w:t xml:space="preserve">1,085 (12.7%)</w:t>
            </w:r>
          </w:p>
        </w:tc>
        <w:tc>
          <w:tcPr/>
          <w:p>
            <w:pPr>
              <w:pStyle w:val="Compact"/>
              <w:jc w:val="left"/>
            </w:pPr>
            <w:r>
              <w:t xml:space="preserve">+0.008</w:t>
            </w:r>
          </w:p>
        </w:tc>
      </w:tr>
      <w:tr>
        <w:tc>
          <w:tcPr/>
          <w:p>
            <w:pPr>
              <w:pStyle w:val="Compact"/>
              <w:jc w:val="left"/>
            </w:pPr>
            <w:r>
              <w:t xml:space="preserve">Age band: 30-44</w:t>
            </w:r>
          </w:p>
        </w:tc>
        <w:tc>
          <w:tcPr/>
          <w:p>
            <w:pPr>
              <w:pStyle w:val="Compact"/>
              <w:jc w:val="left"/>
            </w:pPr>
            <w:r>
              <w:t xml:space="preserve">7,198 (21.1%)</w:t>
            </w:r>
          </w:p>
        </w:tc>
        <w:tc>
          <w:tcPr/>
          <w:p>
            <w:pPr>
              <w:pStyle w:val="Compact"/>
              <w:jc w:val="left"/>
            </w:pPr>
            <w:r>
              <w:t xml:space="preserve">1,827 (21.5%)</w:t>
            </w:r>
          </w:p>
        </w:tc>
        <w:tc>
          <w:tcPr/>
          <w:p>
            <w:pPr>
              <w:pStyle w:val="Compact"/>
              <w:jc w:val="left"/>
            </w:pPr>
            <w:r>
              <w:t xml:space="preserve">-0.008</w:t>
            </w:r>
          </w:p>
        </w:tc>
      </w:tr>
      <w:tr>
        <w:tc>
          <w:tcPr/>
          <w:p>
            <w:pPr>
              <w:pStyle w:val="Compact"/>
              <w:jc w:val="left"/>
            </w:pPr>
            <w:r>
              <w:t xml:space="preserve">Age band: 45-64</w:t>
            </w:r>
          </w:p>
        </w:tc>
        <w:tc>
          <w:tcPr/>
          <w:p>
            <w:pPr>
              <w:pStyle w:val="Compact"/>
              <w:jc w:val="left"/>
            </w:pPr>
            <w:r>
              <w:t xml:space="preserve">10,632 (31.2%)</w:t>
            </w:r>
          </w:p>
        </w:tc>
        <w:tc>
          <w:tcPr/>
          <w:p>
            <w:pPr>
              <w:pStyle w:val="Compact"/>
              <w:jc w:val="left"/>
            </w:pPr>
            <w:r>
              <w:t xml:space="preserve">2,636 (31.0%)</w:t>
            </w:r>
          </w:p>
        </w:tc>
        <w:tc>
          <w:tcPr/>
          <w:p>
            <w:pPr>
              <w:pStyle w:val="Compact"/>
              <w:jc w:val="left"/>
            </w:pPr>
            <w:r>
              <w:t xml:space="preserve">+0.006</w:t>
            </w:r>
          </w:p>
        </w:tc>
      </w:tr>
      <w:tr>
        <w:tc>
          <w:tcPr/>
          <w:p>
            <w:pPr>
              <w:pStyle w:val="Compact"/>
              <w:jc w:val="left"/>
            </w:pPr>
            <w:r>
              <w:t xml:space="preserve">Age band: 65+</w:t>
            </w:r>
          </w:p>
        </w:tc>
        <w:tc>
          <w:tcPr/>
          <w:p>
            <w:pPr>
              <w:pStyle w:val="Compact"/>
              <w:jc w:val="left"/>
            </w:pPr>
            <w:r>
              <w:t xml:space="preserve">11,805 (34.7%)</w:t>
            </w:r>
          </w:p>
        </w:tc>
        <w:tc>
          <w:tcPr/>
          <w:p>
            <w:pPr>
              <w:pStyle w:val="Compact"/>
              <w:jc w:val="left"/>
            </w:pPr>
            <w:r>
              <w:t xml:space="preserve">2,968 (34.9%)</w:t>
            </w:r>
          </w:p>
        </w:tc>
        <w:tc>
          <w:tcPr/>
          <w:p>
            <w:pPr>
              <w:pStyle w:val="Compact"/>
              <w:jc w:val="left"/>
            </w:pPr>
            <w:r>
              <w:t xml:space="preserve">-0.004</w:t>
            </w:r>
          </w:p>
        </w:tc>
      </w:tr>
      <w:tr>
        <w:tc>
          <w:tcPr/>
          <w:p>
            <w:pPr>
              <w:pStyle w:val="Compact"/>
              <w:jc w:val="left"/>
            </w:pPr>
            <w:r>
              <w:t xml:space="preserve">Sex: Female</w:t>
            </w:r>
          </w:p>
        </w:tc>
        <w:tc>
          <w:tcPr/>
          <w:p>
            <w:pPr>
              <w:pStyle w:val="Compact"/>
              <w:jc w:val="left"/>
            </w:pPr>
            <w:r>
              <w:t xml:space="preserve">24,682 (72.5%)</w:t>
            </w:r>
          </w:p>
        </w:tc>
        <w:tc>
          <w:tcPr/>
          <w:p>
            <w:pPr>
              <w:pStyle w:val="Compact"/>
              <w:jc w:val="left"/>
            </w:pPr>
            <w:r>
              <w:t xml:space="preserve">6,168 (72.4%)</w:t>
            </w:r>
          </w:p>
        </w:tc>
        <w:tc>
          <w:tcPr/>
          <w:p>
            <w:pPr>
              <w:pStyle w:val="Compact"/>
              <w:jc w:val="left"/>
            </w:pPr>
            <w:r>
              <w:t xml:space="preserve">+0.001</w:t>
            </w:r>
          </w:p>
        </w:tc>
      </w:tr>
      <w:tr>
        <w:tc>
          <w:tcPr/>
          <w:p>
            <w:pPr>
              <w:pStyle w:val="Compact"/>
              <w:jc w:val="left"/>
            </w:pPr>
            <w:r>
              <w:t xml:space="preserve">Race: White/Caucasian</w:t>
            </w:r>
          </w:p>
        </w:tc>
        <w:tc>
          <w:tcPr/>
          <w:p>
            <w:pPr>
              <w:pStyle w:val="Compact"/>
              <w:jc w:val="left"/>
            </w:pPr>
            <w:r>
              <w:t xml:space="preserve">27,244 (80.0%)</w:t>
            </w:r>
          </w:p>
        </w:tc>
        <w:tc>
          <w:tcPr/>
          <w:p>
            <w:pPr>
              <w:pStyle w:val="Compact"/>
              <w:jc w:val="left"/>
            </w:pPr>
            <w:r>
              <w:t xml:space="preserve">6,835 (80.3%)</w:t>
            </w:r>
          </w:p>
        </w:tc>
        <w:tc>
          <w:tcPr/>
          <w:p>
            <w:pPr>
              <w:pStyle w:val="Compact"/>
              <w:jc w:val="left"/>
            </w:pPr>
            <w:r>
              <w:t xml:space="preserve">-0.007</w:t>
            </w:r>
          </w:p>
        </w:tc>
      </w:tr>
      <w:tr>
        <w:tc>
          <w:tcPr/>
          <w:p>
            <w:pPr>
              <w:pStyle w:val="Compact"/>
              <w:jc w:val="left"/>
            </w:pPr>
            <w:r>
              <w:t xml:space="preserve">Race: Black/African American</w:t>
            </w:r>
          </w:p>
        </w:tc>
        <w:tc>
          <w:tcPr/>
          <w:p>
            <w:pPr>
              <w:pStyle w:val="Compact"/>
              <w:jc w:val="left"/>
            </w:pPr>
            <w:r>
              <w:t xml:space="preserve">1,894 (5.6%)</w:t>
            </w:r>
          </w:p>
        </w:tc>
        <w:tc>
          <w:tcPr/>
          <w:p>
            <w:pPr>
              <w:pStyle w:val="Compact"/>
              <w:jc w:val="left"/>
            </w:pPr>
            <w:r>
              <w:t xml:space="preserve">474 (5.6%)</w:t>
            </w:r>
          </w:p>
        </w:tc>
        <w:tc>
          <w:tcPr/>
          <w:p>
            <w:pPr>
              <w:pStyle w:val="Compact"/>
              <w:jc w:val="left"/>
            </w:pPr>
            <w:r>
              <w:t xml:space="preserve">-0.000</w:t>
            </w:r>
          </w:p>
        </w:tc>
      </w:tr>
      <w:tr>
        <w:tc>
          <w:tcPr/>
          <w:p>
            <w:pPr>
              <w:pStyle w:val="Compact"/>
              <w:jc w:val="left"/>
            </w:pPr>
            <w:r>
              <w:t xml:space="preserve">Race: Am. Indian/Alaska Native</w:t>
            </w:r>
          </w:p>
        </w:tc>
        <w:tc>
          <w:tcPr/>
          <w:p>
            <w:pPr>
              <w:pStyle w:val="Compact"/>
              <w:jc w:val="left"/>
            </w:pPr>
            <w:r>
              <w:t xml:space="preserve">1,637 (4.8%)</w:t>
            </w:r>
          </w:p>
        </w:tc>
        <w:tc>
          <w:tcPr/>
          <w:p>
            <w:pPr>
              <w:pStyle w:val="Compact"/>
              <w:jc w:val="left"/>
            </w:pPr>
            <w:r>
              <w:t xml:space="preserve">396 (4.7%)</w:t>
            </w:r>
          </w:p>
        </w:tc>
        <w:tc>
          <w:tcPr/>
          <w:p>
            <w:pPr>
              <w:pStyle w:val="Compact"/>
              <w:jc w:val="left"/>
            </w:pPr>
            <w:r>
              <w:t xml:space="preserve">+0.007</w:t>
            </w:r>
          </w:p>
        </w:tc>
      </w:tr>
      <w:tr>
        <w:tc>
          <w:tcPr/>
          <w:p>
            <w:pPr>
              <w:pStyle w:val="Compact"/>
              <w:jc w:val="left"/>
            </w:pPr>
            <w:r>
              <w:t xml:space="preserve">Race: Missing</w:t>
            </w:r>
          </w:p>
        </w:tc>
        <w:tc>
          <w:tcPr/>
          <w:p>
            <w:pPr>
              <w:pStyle w:val="Compact"/>
              <w:jc w:val="left"/>
            </w:pPr>
            <w:r>
              <w:t xml:space="preserve">247 (0.7%)</w:t>
            </w:r>
          </w:p>
        </w:tc>
        <w:tc>
          <w:tcPr/>
          <w:p>
            <w:pPr>
              <w:pStyle w:val="Compact"/>
              <w:jc w:val="left"/>
            </w:pPr>
            <w:r>
              <w:t xml:space="preserve">50 (0.6%)</w:t>
            </w:r>
          </w:p>
        </w:tc>
        <w:tc>
          <w:tcPr/>
          <w:p>
            <w:pPr>
              <w:pStyle w:val="Compact"/>
              <w:jc w:val="left"/>
            </w:pPr>
            <w:r>
              <w:t xml:space="preserve">+0.017</w:t>
            </w:r>
          </w:p>
        </w:tc>
      </w:tr>
      <w:tr>
        <w:tc>
          <w:tcPr/>
          <w:p>
            <w:pPr>
              <w:pStyle w:val="Compact"/>
              <w:jc w:val="left"/>
            </w:pPr>
            <w:r>
              <w:t xml:space="preserve">Language: English only</w:t>
            </w:r>
          </w:p>
        </w:tc>
        <w:tc>
          <w:tcPr/>
          <w:p>
            <w:pPr>
              <w:pStyle w:val="Compact"/>
              <w:jc w:val="left"/>
            </w:pPr>
            <w:r>
              <w:t xml:space="preserve">33,698 (98.9%)</w:t>
            </w:r>
          </w:p>
        </w:tc>
        <w:tc>
          <w:tcPr/>
          <w:p>
            <w:pPr>
              <w:pStyle w:val="Compact"/>
              <w:jc w:val="left"/>
            </w:pPr>
            <w:r>
              <w:t xml:space="preserve">8,425 (98.9%)</w:t>
            </w:r>
          </w:p>
        </w:tc>
        <w:tc>
          <w:tcPr/>
          <w:p>
            <w:pPr>
              <w:pStyle w:val="Compact"/>
              <w:jc w:val="left"/>
            </w:pPr>
            <w:r>
              <w:t xml:space="preserve">-0.000</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r>
      <w:tr>
        <w:tc>
          <w:tcPr/>
          <w:p>
            <w:pPr>
              <w:pStyle w:val="Compact"/>
              <w:jc w:val="left"/>
            </w:pPr>
            <w:r>
              <w:t xml:space="preserve">MDD recurrence: Recurrent</w:t>
            </w:r>
          </w:p>
        </w:tc>
        <w:tc>
          <w:tcPr/>
          <w:p>
            <w:pPr>
              <w:pStyle w:val="Compact"/>
              <w:jc w:val="left"/>
            </w:pPr>
            <w:r>
              <w:t xml:space="preserve">9,036 (26.5%)</w:t>
            </w:r>
          </w:p>
        </w:tc>
        <w:tc>
          <w:tcPr/>
          <w:p>
            <w:pPr>
              <w:pStyle w:val="Compact"/>
              <w:jc w:val="left"/>
            </w:pPr>
            <w:r>
              <w:t xml:space="preserve">2,177 (25.6%)</w:t>
            </w:r>
          </w:p>
        </w:tc>
        <w:tc>
          <w:tcPr/>
          <w:p>
            <w:pPr>
              <w:pStyle w:val="Compact"/>
              <w:jc w:val="left"/>
            </w:pPr>
            <w:r>
              <w:t xml:space="preserve">+0.022</w:t>
            </w:r>
          </w:p>
        </w:tc>
      </w:tr>
      <w:tr>
        <w:tc>
          <w:tcPr/>
          <w:p>
            <w:pPr>
              <w:pStyle w:val="Compact"/>
              <w:jc w:val="left"/>
            </w:pPr>
            <w:r>
              <w:t xml:space="preserve">MDD severity: Severe</w:t>
            </w:r>
          </w:p>
        </w:tc>
        <w:tc>
          <w:tcPr/>
          <w:p>
            <w:pPr>
              <w:pStyle w:val="Compact"/>
              <w:jc w:val="left"/>
            </w:pPr>
            <w:r>
              <w:t xml:space="preserve">1,818 (5.3%)</w:t>
            </w:r>
          </w:p>
        </w:tc>
        <w:tc>
          <w:tcPr/>
          <w:p>
            <w:pPr>
              <w:pStyle w:val="Compact"/>
              <w:jc w:val="left"/>
            </w:pPr>
            <w:r>
              <w:t xml:space="preserve">468 (5.5%)</w:t>
            </w:r>
          </w:p>
        </w:tc>
        <w:tc>
          <w:tcPr/>
          <w:p>
            <w:pPr>
              <w:pStyle w:val="Compact"/>
              <w:jc w:val="left"/>
            </w:pPr>
            <w:r>
              <w:t xml:space="preserve">-0.007</w:t>
            </w:r>
          </w:p>
        </w:tc>
      </w:tr>
      <w:tr>
        <w:tc>
          <w:tcPr/>
          <w:p>
            <w:pPr>
              <w:pStyle w:val="Compact"/>
              <w:jc w:val="left"/>
            </w:pPr>
            <w:r>
              <w:t xml:space="preserve">MDD severity: Moderate</w:t>
            </w:r>
          </w:p>
        </w:tc>
        <w:tc>
          <w:tcPr/>
          <w:p>
            <w:pPr>
              <w:pStyle w:val="Compact"/>
              <w:jc w:val="left"/>
            </w:pPr>
            <w:r>
              <w:t xml:space="preserve">5,807 (17.0%)</w:t>
            </w:r>
          </w:p>
        </w:tc>
        <w:tc>
          <w:tcPr/>
          <w:p>
            <w:pPr>
              <w:pStyle w:val="Compact"/>
              <w:jc w:val="left"/>
            </w:pPr>
            <w:r>
              <w:t xml:space="preserve">1,426 (16.7%)</w:t>
            </w:r>
          </w:p>
        </w:tc>
        <w:tc>
          <w:tcPr/>
          <w:p>
            <w:pPr>
              <w:pStyle w:val="Compact"/>
              <w:jc w:val="left"/>
            </w:pPr>
            <w:r>
              <w:t xml:space="preserve">+0.008</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1,392 (4.1%)</w:t>
            </w:r>
          </w:p>
        </w:tc>
        <w:tc>
          <w:tcPr/>
          <w:p>
            <w:pPr>
              <w:pStyle w:val="Compact"/>
              <w:jc w:val="left"/>
            </w:pPr>
            <w:r>
              <w:t xml:space="preserve">361 (4.2%)</w:t>
            </w:r>
          </w:p>
        </w:tc>
        <w:tc>
          <w:tcPr/>
          <w:p>
            <w:pPr>
              <w:pStyle w:val="Compact"/>
              <w:jc w:val="left"/>
            </w:pPr>
            <w:r>
              <w:t xml:space="preserve">-0.008</w:t>
            </w:r>
          </w:p>
        </w:tc>
      </w:tr>
      <w:tr>
        <w:tc>
          <w:tcPr/>
          <w:p>
            <w:pPr>
              <w:pStyle w:val="Compact"/>
              <w:jc w:val="left"/>
            </w:pPr>
            <w:r>
              <w:t xml:space="preserve">Anxiety disorder</w:t>
            </w:r>
          </w:p>
        </w:tc>
        <w:tc>
          <w:tcPr/>
          <w:p>
            <w:pPr>
              <w:pStyle w:val="Compact"/>
              <w:jc w:val="left"/>
            </w:pPr>
            <w:r>
              <w:t xml:space="preserve">17,975 (52.8%)</w:t>
            </w:r>
          </w:p>
        </w:tc>
        <w:tc>
          <w:tcPr/>
          <w:p>
            <w:pPr>
              <w:pStyle w:val="Compact"/>
              <w:jc w:val="left"/>
            </w:pPr>
            <w:r>
              <w:t xml:space="preserve">4,426 (52.0%)</w:t>
            </w:r>
          </w:p>
        </w:tc>
        <w:tc>
          <w:tcPr/>
          <w:p>
            <w:pPr>
              <w:pStyle w:val="Compact"/>
              <w:jc w:val="left"/>
            </w:pPr>
            <w:r>
              <w:t xml:space="preserve">+0.016</w:t>
            </w:r>
          </w:p>
        </w:tc>
      </w:tr>
      <w:tr>
        <w:tc>
          <w:tcPr/>
          <w:p>
            <w:pPr>
              <w:pStyle w:val="Compact"/>
              <w:jc w:val="left"/>
            </w:pPr>
            <w:r>
              <w:t xml:space="preserve">Substance use disorder (any)</w:t>
            </w:r>
          </w:p>
        </w:tc>
        <w:tc>
          <w:tcPr/>
          <w:p>
            <w:pPr>
              <w:pStyle w:val="Compact"/>
              <w:jc w:val="left"/>
            </w:pPr>
            <w:r>
              <w:t xml:space="preserve">7,472 (21.9%)</w:t>
            </w:r>
          </w:p>
        </w:tc>
        <w:tc>
          <w:tcPr/>
          <w:p>
            <w:pPr>
              <w:pStyle w:val="Compact"/>
              <w:jc w:val="left"/>
            </w:pPr>
            <w:r>
              <w:t xml:space="preserve">1,793 (21.1%)</w:t>
            </w:r>
          </w:p>
        </w:tc>
        <w:tc>
          <w:tcPr/>
          <w:p>
            <w:pPr>
              <w:pStyle w:val="Compact"/>
              <w:jc w:val="left"/>
            </w:pPr>
            <w:r>
              <w:t xml:space="preserve">+0.021</w:t>
            </w:r>
          </w:p>
        </w:tc>
      </w:tr>
      <w:tr>
        <w:tc>
          <w:tcPr/>
          <w:p>
            <w:pPr>
              <w:pStyle w:val="Compact"/>
              <w:jc w:val="left"/>
            </w:pPr>
            <w:r>
              <w:t xml:space="preserve">Insomnia</w:t>
            </w:r>
          </w:p>
        </w:tc>
        <w:tc>
          <w:tcPr/>
          <w:p>
            <w:pPr>
              <w:pStyle w:val="Compact"/>
              <w:jc w:val="left"/>
            </w:pPr>
            <w:r>
              <w:t xml:space="preserve">7,452 (21.9%)</w:t>
            </w:r>
          </w:p>
        </w:tc>
        <w:tc>
          <w:tcPr/>
          <w:p>
            <w:pPr>
              <w:pStyle w:val="Compact"/>
              <w:jc w:val="left"/>
            </w:pPr>
            <w:r>
              <w:t xml:space="preserve">1,898 (22.3%)</w:t>
            </w:r>
          </w:p>
        </w:tc>
        <w:tc>
          <w:tcPr/>
          <w:p>
            <w:pPr>
              <w:pStyle w:val="Compact"/>
              <w:jc w:val="left"/>
            </w:pPr>
            <w:r>
              <w:t xml:space="preserve">-0.010</w:t>
            </w:r>
          </w:p>
        </w:tc>
      </w:tr>
      <w:tr>
        <w:tc>
          <w:tcPr/>
          <w:p>
            <w:pPr>
              <w:pStyle w:val="Compact"/>
              <w:jc w:val="left"/>
            </w:pPr>
            <w:r>
              <w:t xml:space="preserve">PTSD</w:t>
            </w:r>
          </w:p>
        </w:tc>
        <w:tc>
          <w:tcPr/>
          <w:p>
            <w:pPr>
              <w:pStyle w:val="Compact"/>
              <w:jc w:val="left"/>
            </w:pPr>
            <w:r>
              <w:t xml:space="preserve">1,241 (3.6%)</w:t>
            </w:r>
          </w:p>
        </w:tc>
        <w:tc>
          <w:tcPr/>
          <w:p>
            <w:pPr>
              <w:pStyle w:val="Compact"/>
              <w:jc w:val="left"/>
            </w:pPr>
            <w:r>
              <w:t xml:space="preserve">300 (3.5%)</w:t>
            </w:r>
          </w:p>
        </w:tc>
        <w:tc>
          <w:tcPr/>
          <w:p>
            <w:pPr>
              <w:pStyle w:val="Compact"/>
              <w:jc w:val="left"/>
            </w:pPr>
            <w:r>
              <w:t xml:space="preserve">+0.006</w:t>
            </w:r>
          </w:p>
        </w:tc>
      </w:tr>
      <w:tr>
        <w:tc>
          <w:tcPr/>
          <w:p>
            <w:pPr>
              <w:pStyle w:val="Compact"/>
              <w:jc w:val="left"/>
            </w:pPr>
            <w:r>
              <w:t xml:space="preserve">Alcohol use disorder</w:t>
            </w:r>
          </w:p>
        </w:tc>
        <w:tc>
          <w:tcPr/>
          <w:p>
            <w:pPr>
              <w:pStyle w:val="Compact"/>
              <w:jc w:val="left"/>
            </w:pPr>
            <w:r>
              <w:t xml:space="preserve">1,523 (4.5%)</w:t>
            </w:r>
          </w:p>
        </w:tc>
        <w:tc>
          <w:tcPr/>
          <w:p>
            <w:pPr>
              <w:pStyle w:val="Compact"/>
              <w:jc w:val="left"/>
            </w:pPr>
            <w:r>
              <w:t xml:space="preserve">352 (4.1%)</w:t>
            </w:r>
          </w:p>
        </w:tc>
        <w:tc>
          <w:tcPr/>
          <w:p>
            <w:pPr>
              <w:pStyle w:val="Compact"/>
              <w:jc w:val="left"/>
            </w:pPr>
            <w:r>
              <w:t xml:space="preserve">+0.017</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12,591 (37.0%)</w:t>
            </w:r>
          </w:p>
        </w:tc>
        <w:tc>
          <w:tcPr/>
          <w:p>
            <w:pPr>
              <w:pStyle w:val="Compact"/>
              <w:jc w:val="left"/>
            </w:pPr>
            <w:r>
              <w:t xml:space="preserve">3,156 (37.1%)</w:t>
            </w:r>
          </w:p>
        </w:tc>
        <w:tc>
          <w:tcPr/>
          <w:p>
            <w:pPr>
              <w:pStyle w:val="Compact"/>
              <w:jc w:val="left"/>
            </w:pPr>
            <w:r>
              <w:t xml:space="preserve">-0.002</w:t>
            </w:r>
          </w:p>
        </w:tc>
      </w:tr>
      <w:tr>
        <w:tc>
          <w:tcPr/>
          <w:p>
            <w:pPr>
              <w:pStyle w:val="Compact"/>
              <w:jc w:val="left"/>
            </w:pPr>
            <w:r>
              <w:t xml:space="preserve">Uncontrolled hypertension</w:t>
            </w:r>
          </w:p>
        </w:tc>
        <w:tc>
          <w:tcPr/>
          <w:p>
            <w:pPr>
              <w:pStyle w:val="Compact"/>
              <w:jc w:val="left"/>
            </w:pPr>
            <w:r>
              <w:t xml:space="preserve">12,544 (36.8%)</w:t>
            </w:r>
          </w:p>
        </w:tc>
        <w:tc>
          <w:tcPr/>
          <w:p>
            <w:pPr>
              <w:pStyle w:val="Compact"/>
              <w:jc w:val="left"/>
            </w:pPr>
            <w:r>
              <w:t xml:space="preserve">3,136 (36.8%)</w:t>
            </w:r>
          </w:p>
        </w:tc>
        <w:tc>
          <w:tcPr/>
          <w:p>
            <w:pPr>
              <w:pStyle w:val="Compact"/>
              <w:jc w:val="left"/>
            </w:pPr>
            <w:r>
              <w:t xml:space="preserve">+0.000</w:t>
            </w:r>
          </w:p>
        </w:tc>
      </w:tr>
      <w:tr>
        <w:tc>
          <w:tcPr/>
          <w:p>
            <w:pPr>
              <w:pStyle w:val="Compact"/>
              <w:jc w:val="left"/>
            </w:pPr>
            <w:r>
              <w:t xml:space="preserve">Vital signs (narrative only)</w:t>
            </w:r>
          </w:p>
        </w:tc>
        <w:tc>
          <w:tcPr/>
          <w:p>
            <w:pPr>
              <w:pStyle w:val="Compact"/>
            </w:pPr>
          </w:p>
        </w:tc>
        <w:tc>
          <w:tcPr/>
          <w:p>
            <w:pPr>
              <w:pStyle w:val="Compact"/>
            </w:pPr>
          </w:p>
        </w:tc>
        <w:tc>
          <w:tcPr/>
          <w:p>
            <w:pPr>
              <w:pStyle w:val="Compact"/>
            </w:pPr>
          </w:p>
        </w:tc>
      </w:tr>
      <w:tr>
        <w:tc>
          <w:tcPr/>
          <w:p>
            <w:pPr>
              <w:pStyle w:val="Compact"/>
              <w:jc w:val="left"/>
            </w:pPr>
            <w:r>
              <w:t xml:space="preserve">BMI</w:t>
            </w:r>
          </w:p>
        </w:tc>
        <w:tc>
          <w:tcPr/>
          <w:p>
            <w:pPr>
              <w:pStyle w:val="Compact"/>
              <w:jc w:val="left"/>
            </w:pPr>
            <w:r>
              <w:t xml:space="preserve">29 (25-35)</w:t>
            </w:r>
          </w:p>
        </w:tc>
        <w:tc>
          <w:tcPr/>
          <w:p>
            <w:pPr>
              <w:pStyle w:val="Compact"/>
              <w:jc w:val="left"/>
            </w:pPr>
            <w:r>
              <w:t xml:space="preserve">29 (25-35)</w:t>
            </w:r>
          </w:p>
        </w:tc>
        <w:tc>
          <w:tcPr/>
          <w:p>
            <w:pPr>
              <w:pStyle w:val="Compact"/>
              <w:jc w:val="left"/>
            </w:pPr>
            <w:r>
              <w:t xml:space="preserve">-0.013</w:t>
            </w:r>
          </w:p>
        </w:tc>
      </w:tr>
      <w:tr>
        <w:tc>
          <w:tcPr/>
          <w:p>
            <w:pPr>
              <w:pStyle w:val="Compact"/>
              <w:jc w:val="left"/>
            </w:pPr>
            <w:r>
              <w:t xml:space="preserve">Systolic BP</w:t>
            </w:r>
          </w:p>
        </w:tc>
        <w:tc>
          <w:tcPr/>
          <w:p>
            <w:pPr>
              <w:pStyle w:val="Compact"/>
              <w:jc w:val="left"/>
            </w:pPr>
            <w:r>
              <w:t xml:space="preserve">126 (118-136)</w:t>
            </w:r>
          </w:p>
        </w:tc>
        <w:tc>
          <w:tcPr/>
          <w:p>
            <w:pPr>
              <w:pStyle w:val="Compact"/>
              <w:jc w:val="left"/>
            </w:pPr>
            <w:r>
              <w:t xml:space="preserve">126 (118-136)</w:t>
            </w:r>
          </w:p>
        </w:tc>
        <w:tc>
          <w:tcPr/>
          <w:p>
            <w:pPr>
              <w:pStyle w:val="Compact"/>
              <w:jc w:val="left"/>
            </w:pPr>
            <w:r>
              <w:t xml:space="preserve">-0.010</w:t>
            </w:r>
          </w:p>
        </w:tc>
      </w:tr>
      <w:tr>
        <w:tc>
          <w:tcPr/>
          <w:p>
            <w:pPr>
              <w:pStyle w:val="Compact"/>
              <w:jc w:val="left"/>
            </w:pPr>
            <w:r>
              <w:t xml:space="preserve">BMI: not recorded</w:t>
            </w:r>
          </w:p>
        </w:tc>
        <w:tc>
          <w:tcPr/>
          <w:p>
            <w:pPr>
              <w:pStyle w:val="Compact"/>
              <w:jc w:val="left"/>
            </w:pPr>
            <w:r>
              <w:t xml:space="preserve">7,484 (22.0%)</w:t>
            </w:r>
          </w:p>
        </w:tc>
        <w:tc>
          <w:tcPr/>
          <w:p>
            <w:pPr>
              <w:pStyle w:val="Compact"/>
              <w:jc w:val="left"/>
            </w:pPr>
            <w:r>
              <w:t xml:space="preserve">1,911 (22.4%)</w:t>
            </w:r>
          </w:p>
        </w:tc>
        <w:tc>
          <w:tcPr/>
          <w:p>
            <w:pPr>
              <w:pStyle w:val="Compact"/>
              <w:jc w:val="left"/>
            </w:pPr>
            <w:r>
              <w:t xml:space="preserve">-0.011</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+0.008</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20 (8-47)</w:t>
            </w:r>
          </w:p>
        </w:tc>
        <w:tc>
          <w:tcPr/>
          <w:p>
            <w:pPr>
              <w:pStyle w:val="Compact"/>
              <w:jc w:val="left"/>
            </w:pPr>
            <w:r>
              <w:t xml:space="preserve">-0.001</w:t>
            </w:r>
          </w:p>
        </w:tc>
      </w:tr>
      <w:tr>
        <w:tc>
          <w:tcPr/>
          <w:p>
            <w:pPr>
              <w:pStyle w:val="Compact"/>
              <w:jc w:val="left"/>
            </w:pPr>
            <w:r>
              <w:t xml:space="preserve">Pre-index history (days)</w:t>
            </w:r>
          </w:p>
        </w:tc>
        <w:tc>
          <w:tcPr/>
          <w:p>
            <w:pPr>
              <w:pStyle w:val="Compact"/>
              <w:jc w:val="left"/>
            </w:pPr>
            <w:r>
              <w:t xml:space="preserve">1792 (1213-2547)</w:t>
            </w:r>
          </w:p>
        </w:tc>
        <w:tc>
          <w:tcPr/>
          <w:p>
            <w:pPr>
              <w:pStyle w:val="Compact"/>
              <w:jc w:val="left"/>
            </w:pPr>
            <w:r>
              <w:t xml:space="preserve">1797 (1222-2541)</w:t>
            </w:r>
          </w:p>
        </w:tc>
        <w:tc>
          <w:tcPr/>
          <w:p>
            <w:pPr>
              <w:pStyle w:val="Compact"/>
              <w:jc w:val="left"/>
            </w:pPr>
            <w:r>
              <w:t xml:space="preserve">+0.004</w:t>
            </w:r>
          </w:p>
        </w:tc>
      </w:tr>
      <w:tr>
        <w:tc>
          <w:tcPr/>
          <w:p>
            <w:pPr>
              <w:pStyle w:val="Compact"/>
              <w:jc w:val="left"/>
            </w:pPr>
            <w:r>
              <w:t xml:space="preserve">Prior adequate AD trial (any class)</w:t>
            </w:r>
          </w:p>
        </w:tc>
        <w:tc>
          <w:tcPr/>
          <w:p>
            <w:pPr>
              <w:pStyle w:val="Compact"/>
              <w:jc w:val="left"/>
            </w:pPr>
            <w:r>
              <w:t xml:space="preserve">5,014 (14.7%)</w:t>
            </w:r>
          </w:p>
        </w:tc>
        <w:tc>
          <w:tcPr/>
          <w:p>
            <w:pPr>
              <w:pStyle w:val="Compact"/>
              <w:jc w:val="left"/>
            </w:pPr>
            <w:r>
              <w:t xml:space="preserve">1,262 (14.8%)</w:t>
            </w:r>
          </w:p>
        </w:tc>
        <w:tc>
          <w:tcPr/>
          <w:p>
            <w:pPr>
              <w:pStyle w:val="Compact"/>
              <w:jc w:val="left"/>
            </w:pPr>
            <w:r>
              <w:t xml:space="preserve">-0.003</w:t>
            </w:r>
          </w:p>
        </w:tc>
      </w:tr>
      <w:tr>
        <w:tc>
          <w:tcPr/>
          <w:p>
            <w:pPr>
              <w:pStyle w:val="Compact"/>
              <w:jc w:val="left"/>
            </w:pPr>
            <w:r>
              <w:t xml:space="preserve">Benzodiazepine days recorded</w:t>
            </w:r>
          </w:p>
        </w:tc>
        <w:tc>
          <w:tcPr/>
          <w:p>
            <w:pPr>
              <w:pStyle w:val="Compact"/>
              <w:jc w:val="left"/>
            </w:pPr>
            <w:r>
              <w:t xml:space="preserve">3,775 (11.1%)</w:t>
            </w:r>
          </w:p>
        </w:tc>
        <w:tc>
          <w:tcPr/>
          <w:p>
            <w:pPr>
              <w:pStyle w:val="Compact"/>
              <w:jc w:val="left"/>
            </w:pPr>
            <w:r>
              <w:t xml:space="preserve">949 (11.1%)</w:t>
            </w:r>
          </w:p>
        </w:tc>
        <w:tc>
          <w:tcPr/>
          <w:p>
            <w:pPr>
              <w:pStyle w:val="Compact"/>
              <w:jc w:val="left"/>
            </w:pPr>
            <w:r>
              <w:t xml:space="preserve">-0.002</w:t>
            </w:r>
          </w:p>
        </w:tc>
      </w:tr>
      <w:tr>
        <w:tc>
          <w:tcPr/>
          <w:p>
            <w:pPr>
              <w:pStyle w:val="Compact"/>
              <w:jc w:val="left"/>
            </w:pPr>
            <w:r>
              <w:t xml:space="preserve">Hypnotic recorded</w:t>
            </w:r>
          </w:p>
        </w:tc>
        <w:tc>
          <w:tcPr/>
          <w:p>
            <w:pPr>
              <w:pStyle w:val="Compact"/>
              <w:jc w:val="left"/>
            </w:pPr>
            <w:r>
              <w:t xml:space="preserve">1,319 (3.9%)</w:t>
            </w:r>
          </w:p>
        </w:tc>
        <w:tc>
          <w:tcPr/>
          <w:p>
            <w:pPr>
              <w:pStyle w:val="Compact"/>
              <w:jc w:val="left"/>
            </w:pPr>
            <w:r>
              <w:t xml:space="preserve">342 (4.0%)</w:t>
            </w:r>
          </w:p>
        </w:tc>
        <w:tc>
          <w:tcPr/>
          <w:p>
            <w:pPr>
              <w:pStyle w:val="Compact"/>
              <w:jc w:val="left"/>
            </w:pPr>
            <w:r>
              <w:t xml:space="preserve">-0.007</w:t>
            </w:r>
          </w:p>
        </w:tc>
      </w:tr>
      <w:tr>
        <w:tc>
          <w:tcPr/>
          <w:p>
            <w:pPr>
              <w:pStyle w:val="Compact"/>
              <w:jc w:val="left"/>
            </w:pPr>
            <w:r>
              <w:t xml:space="preserve">Augmentation therapy used</w:t>
            </w:r>
          </w:p>
        </w:tc>
        <w:tc>
          <w:tcPr/>
          <w:p>
            <w:pPr>
              <w:pStyle w:val="Compact"/>
              <w:jc w:val="left"/>
            </w:pPr>
            <w:r>
              <w:t xml:space="preserve">326 (1.0%)</w:t>
            </w:r>
          </w:p>
        </w:tc>
        <w:tc>
          <w:tcPr/>
          <w:p>
            <w:pPr>
              <w:pStyle w:val="Compact"/>
              <w:jc w:val="left"/>
            </w:pPr>
            <w:r>
              <w:t xml:space="preserve">96 (1.1%)</w:t>
            </w:r>
          </w:p>
        </w:tc>
        <w:tc>
          <w:tcPr/>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2026-10-10T14:28:29Z</dcterms:created>
  <dcterms:modified xsi:type="dcterms:W3CDTF">2026-10-10T14:28:29Z</dcterms:modified>
</cp:coreProperties>
</file>

<file path=docProps/custom.xml><?xml version="1.0" encoding="utf-8"?>
<Properties xmlns="http://schemas.openxmlformats.org/officeDocument/2006/custom-properties" xmlns:vt="http://schemas.openxmlformats.org/officeDocument/2006/docPropsVTypes"/>
</file>