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Electronic health records (EHRs) have been shown to support prediction of subsequent antidepressant switching, an imperfect proxy for treatment-resistant depression (TRD). However, it is unclear whether general-purpose narrative embeddings improve prediction beyond structured feature vectors.</w:t>
      </w:r>
    </w:p>
    <w:p>
      <w:pPr>
        <w:pStyle w:val="BodyText"/>
      </w:pPr>
      <w:r>
        <w:rPr>
          <w:bCs/>
          <w:b/>
        </w:rPr>
        <w:t xml:space="preserve">Objective:</w:t>
      </w:r>
      <w:r>
        <w:t xml:space="preserve"> </w:t>
      </w:r>
      <w:r>
        <w:t xml:space="preserve">We compared structured feature vectors with pretrained embeddings of rule-based patient narratives for predicting a treatment-switching proxy for TRD at the index antidepressant prescription.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This retrospective study included 42,579 patients with depression from one community health system. The outcome required at least 3 distinct antidepressant treatments, including the index agent, within 365 days. Clinical predictors were derived from a 730-day lookback window. We evaluated 4 classifiers on each representation using a shared 80:20 training and test split, with preprocessing and tuning confined to training data. Four embedding encoders were evaluated; Qwen3-Embedding-8B was primary. The pipelines used the same source records. We assessed discrimination, calibration, and paired bootstrap differences, and used concept permutation and neighbor retrieval to examine the predictive signal.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The outcome occurred in 7,455 patients (17.5%). In 8,516 test patients, embedded logistic regression achieved a receiver operating characteristic area under the curve (ROC AUC) of 0.657 (95% CI 0.643–0.672), compared with 0.649 (95% CI 0.634–0.664) for feature-vector XGBoost. The post hoc difference between these leading models was 0.008 (95% CI −0.003 to 0.019). Embeddings improved logistic regression by 0.028 ROC AUC but reduced discrimination for the 3 tree ensembles by 0.013–0.022. Embedded logistic regression achieved ROC AUCs of 0.645–0.657 across encoders. Permuting psychiatric history produced the largest discrimination loss for the primary encoder (0.024–0.028 across classifiers); medication burden and prior treatment exposure also contributed. Permuting race/ethnicity or recorded social determinants changed ROC AUC by no more than 0.003. Nearest-neighbor retrieval over the embedding stayed below both leading classifiers at every neighborhood size tested; its best ROC AUC was 0.625 (95% CI 0.610–0.641).</w:t>
      </w:r>
    </w:p>
    <w:p>
      <w:pPr>
        <w:pStyle w:val="BodyText"/>
      </w:pPr>
      <w:r>
        <w:rPr>
          <w:bCs/>
          <w:b/>
        </w:rPr>
        <w:t xml:space="preserve">Conclusions:</w:t>
      </w:r>
      <w:r>
        <w:t xml:space="preserve"> </w:t>
      </w:r>
      <w:r>
        <w:t xml:space="preserve">Narrative embeddings did not demonstrate superior discrimination over the strongest structured feature model for this treatment-switching proxy. Performance depended on the classifier, and neither pipeline established clinical utility. These findings support structured features as a practical benchmark and prioritize validation of the outcome, transportability, and clinical value before deployment.</w:t>
      </w:r>
    </w:p>
    <w:p>
      <w:pPr>
        <w:pStyle w:val="BodyText"/>
      </w:pPr>
      <w:r>
        <w:t xml:space="preserve">Keywords: treatment-resistant depression; depression; electronic health records; machine learning; clinical prediction; text embeddings; antidepressants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2026-09-29T00:39:39Z</dcterms:created>
  <dcterms:modified xsi:type="dcterms:W3CDTF">2026-09-29T00:39:39Z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