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Patients with a problem-list depression flag were retained, together with a random sample without that flag. The resulting sample was enriched for depression and does not represent health-system prevalence. Encounter-level diagnoses determined study eligibility; 12,530 eligible patients (29.4%) entered through the randomly sampled group.</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0"/>
    <w:bookmarkStart w:id="22"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Index selection did not require subsequent dose adequacy, duration, response, or treatment change.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1"/>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The 57.9% annotation describes candidate index orders, not the final cohort. EHR: electronic health record; MDD: major depressive disorder; TRD: treatment-resistant depression proxy.</w:t>
      </w:r>
    </w:p>
    <w:bookmarkEnd w:id="22"/>
    <w:bookmarkStart w:id="23"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Standardized symptom response was unavailable, and dose and duration adequacy were not established for the counted treatments. Switching could reflect nonresponse, intolerance, preference, access, or prescribing practice. Access to depression treatment differs across racial and ethnic groups in the United States, so the label can record unequal access as if it were clinical signal (Multimedia Appendix 1, section M3). The label was not validated by chart review or symptom measures (Multimedia Appendix 1, section M3). We use</w:t>
      </w:r>
      <w:r>
        <w:t xml:space="preserve"> </w:t>
      </w:r>
      <w:r>
        <w:t xml:space="preserve">“</w:t>
      </w:r>
      <w:r>
        <w:t xml:space="preserve">TRD proxy</w:t>
      </w:r>
      <w:r>
        <w:t xml:space="preserve">”</w:t>
      </w:r>
      <w:r>
        <w:t xml:space="preserve"> </w:t>
      </w:r>
      <w:r>
        <w:t xml:space="preserve">throughout to distinguish this outcome from clinically confirmed resistance.</w:t>
      </w:r>
    </w:p>
    <w:bookmarkEnd w:id="23"/>
    <w:bookmarkStart w:id="24"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Prior antidepressant trial counts required at least 42 days of continuous exposure; this duration rule did not establish adequate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4"/>
    <w:bookmarkStart w:id="25"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Tuning grids were identical across representations for each classifier (Multimedia Appendix 1, sections M7–M9).</w:t>
      </w:r>
    </w:p>
    <w:p>
      <w:pPr>
        <w:pStyle w:val="BodyText"/>
      </w:pPr>
      <w:r>
        <w:t xml:space="preserve">We assessed ROC AUC, area under the precision–recall curve (AUPRC), Brier score, and calibration. The supplementary calibration-curve summaries use slopes and intercepts fitted to binned probabilities; the subgroup analyses separately report logistic calibration slopes based on individual predicted probabilities. These quantities are distinguished because they are not interchangeable. All calibration estimates concern this enriched cohort.</w:t>
      </w:r>
    </w:p>
    <w:p>
      <w:pPr>
        <w:pStyle w:val="BodyText"/>
      </w:pPr>
      <w:r>
        <w:t xml:space="preserve">Nonparametric bootstrap resampling of test patients provided 95% CIs. Paired resampling estimated differences between representations and between original and perturbed predictions. Classifier-matched contrasts held the learner fixed. The comparison of the best model for each representation was post hoc because the leading models were identified from test performance. No equivalence margin was prespecified; a CI containing zero does not establish equivalence. Sensitivity and specificity at test-selected Youden J thresholds are reported only as descriptive analyses in Multimedia Appendix 1, section S12.</w:t>
      </w:r>
    </w:p>
    <w:bookmarkEnd w:id="25"/>
    <w:bookmarkStart w:id="26"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The primary analysis used k = 50 and α = 5. A sweep evaluated every k from 1 to all 34,063 training patients, under α = 1, 2, and 5. Random and farthest retrieval served as negative controls.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6"/>
    <w:bookmarkStart w:id="27"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7"/>
    <w:bookmarkEnd w:id="2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2026-09-29T00:39:40Z</dcterms:created>
  <dcterms:modified xsi:type="dcterms:W3CDTF">2026-09-29T00:39:40Z</dcterms:modified>
</cp:coreProperties>
</file>

<file path=docProps/custom.xml><?xml version="1.0" encoding="utf-8"?>
<Properties xmlns="http://schemas.openxmlformats.org/officeDocument/2006/custom-properties" xmlns:vt="http://schemas.openxmlformats.org/officeDocument/2006/docPropsVTypes"/>
</file>