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access to depression treatment differs across US racial and ethnic groups, so the label can record unequal access as clinical signal (with Supplement M3). 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identical grids across representations); Supplement M9.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Calibration: Supplement S3 and S9</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stated in Methods,</w:t>
            </w:r>
            <w:r>
              <w:t xml:space="preserve"> </w:t>
            </w:r>
            <w:r>
              <w:rPr>
                <w:iCs/>
                <w:i/>
              </w:rPr>
              <w:t xml:space="preserve">Model Development and Evaluation</w:t>
            </w:r>
            <w:r>
              <w:t xml:space="preserve">.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logistic calibration slope and mean risk difference across sex, recorded race, age, marital status, smoking, religion, MDD recurrence and severity, for 4 FEATURE classifiers, 4 EMBEDDED classifiers and 2 retrieval configurations, with strata below 20 in the smaller outcome class declared not estimable. 240 contrasts with bootstrap P values adjusted by Benjamini–Hochberg; 60 exclude zero unadjusted and 24 survive, 19 of them involving recurrence. All 10 White-minus-non-White contrasts are positive (0.005–0.052), 5 exclude zero unadjusted and none survive (minimum adjusted P = .11); feature-vector logistic regression calibration slope is 0.98 in White patients and 0.79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Supplement S2–S3, S6 (Table S7),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2026-09-29T00:39:26Z</dcterms:created>
  <dcterms:modified xsi:type="dcterms:W3CDTF">2026-09-29T00:39:26Z</dcterms:modified>
</cp:coreProperties>
</file>

<file path=docProps/custom.xml><?xml version="1.0" encoding="utf-8"?>
<Properties xmlns="http://schemas.openxmlformats.org/officeDocument/2006/custom-properties" xmlns:vt="http://schemas.openxmlformats.org/officeDocument/2006/docPropsVTypes"/>
</file>