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ED92E" w14:textId="77777777" w:rsidR="00BA42C7" w:rsidRPr="001B3460" w:rsidRDefault="00000000" w:rsidP="001B3460">
      <w:pPr>
        <w:pStyle w:val="Heading1"/>
        <w:spacing w:before="0" w:after="120"/>
        <w:rPr>
          <w:rFonts w:ascii="Calibri" w:eastAsia="Google Sans" w:hAnsi="Calibri" w:cs="Calibri"/>
          <w:sz w:val="22"/>
          <w:szCs w:val="22"/>
        </w:rPr>
      </w:pPr>
      <w:r w:rsidRPr="001B3460">
        <w:rPr>
          <w:rFonts w:ascii="Calibri" w:eastAsia="Google Sans" w:hAnsi="Calibri" w:cs="Calibri"/>
          <w:sz w:val="22"/>
          <w:szCs w:val="22"/>
        </w:rPr>
        <w:t>Structured EHR Digital Twins for Depression: A Comparative Analysis of Encoder-Retrieval and Direct LLM Retrieval Paradigms</w:t>
      </w:r>
    </w:p>
    <w:p w14:paraId="19CCCD65" w14:textId="785894AA" w:rsidR="00BA42C7" w:rsidRPr="001B3460" w:rsidRDefault="00000000" w:rsidP="001B3460">
      <w:pPr>
        <w:pStyle w:val="Heading2"/>
        <w:spacing w:before="0" w:after="120"/>
        <w:rPr>
          <w:rFonts w:ascii="Calibri" w:eastAsia="Google Sans" w:hAnsi="Calibri" w:cs="Calibri"/>
          <w:sz w:val="22"/>
          <w:szCs w:val="22"/>
        </w:rPr>
      </w:pPr>
      <w:r w:rsidRPr="001B3460">
        <w:rPr>
          <w:rFonts w:ascii="Calibri" w:eastAsia="Google Sans" w:hAnsi="Calibri" w:cs="Calibri"/>
          <w:sz w:val="22"/>
          <w:szCs w:val="22"/>
        </w:rPr>
        <w:t>Executive Summary</w:t>
      </w:r>
    </w:p>
    <w:p w14:paraId="7DEBF85C" w14:textId="7A04315E"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 concept of a Human Digital Twin (HDT)—a dynamic, virtual representation of an individual used to simulate and predict health trajectories—is poised to transform medicine from a reactive to a proactive discipline.</w:t>
      </w:r>
      <w:r w:rsidRPr="001B3460">
        <w:rPr>
          <w:rFonts w:ascii="Calibri" w:eastAsia="Google Sans Text" w:hAnsi="Calibri" w:cs="Calibri"/>
          <w:vertAlign w:val="superscript"/>
        </w:rPr>
        <w:t>1</w:t>
      </w:r>
      <w:r w:rsidRPr="001B3460">
        <w:rPr>
          <w:rFonts w:ascii="Calibri" w:eastAsia="Google Sans Text" w:hAnsi="Calibri" w:cs="Calibri"/>
        </w:rPr>
        <w:t xml:space="preserve"> While applications in fields with well-defined biophysical parameters like cardiology are advancing, the translation of this paradigm to psychiatry, particularly for complex conditions like Major Depressive Disorder (MDD), presents profound methodological challenges.</w:t>
      </w:r>
      <w:r w:rsidRPr="001B3460">
        <w:rPr>
          <w:rFonts w:ascii="Calibri" w:eastAsia="Google Sans Text" w:hAnsi="Calibri" w:cs="Calibri"/>
          <w:vertAlign w:val="superscript"/>
        </w:rPr>
        <w:t>3</w:t>
      </w:r>
      <w:r w:rsidRPr="001B3460">
        <w:rPr>
          <w:rFonts w:ascii="Calibri" w:eastAsia="Google Sans Text" w:hAnsi="Calibri" w:cs="Calibri"/>
        </w:rPr>
        <w:t xml:space="preserve"> This report provides a deep comparative analysis of two dominant computational approaches for constructing psychiatric digital twins from structured Electronic Health Record (EHR) data: the</w:t>
      </w:r>
      <w:r w:rsidR="001B3460">
        <w:rPr>
          <w:rFonts w:ascii="Calibri" w:eastAsia="Google Sans Text" w:hAnsi="Calibri" w:cs="Calibri"/>
        </w:rPr>
        <w:t xml:space="preserve"> </w:t>
      </w:r>
      <w:r w:rsidRPr="001B3460">
        <w:rPr>
          <w:rFonts w:ascii="Calibri" w:eastAsia="Google Sans Text" w:hAnsi="Calibri" w:cs="Calibri"/>
          <w:b/>
        </w:rPr>
        <w:t>Encoder-Retrieval paradigm</w:t>
      </w:r>
      <w:r w:rsidRPr="001B3460">
        <w:rPr>
          <w:rFonts w:ascii="Calibri" w:eastAsia="Google Sans Text" w:hAnsi="Calibri" w:cs="Calibri"/>
        </w:rPr>
        <w:t xml:space="preserve">, which uses specialized transformer models to create high-dimensional patient representations, and the </w:t>
      </w:r>
      <w:r w:rsidRPr="001B3460">
        <w:rPr>
          <w:rFonts w:ascii="Calibri" w:eastAsia="Google Sans Text" w:hAnsi="Calibri" w:cs="Calibri"/>
          <w:b/>
        </w:rPr>
        <w:t>Direct Large Language Model (LLM) Retrieval paradigm</w:t>
      </w:r>
      <w:r w:rsidRPr="001B3460">
        <w:rPr>
          <w:rFonts w:ascii="Calibri" w:eastAsia="Google Sans Text" w:hAnsi="Calibri" w:cs="Calibri"/>
        </w:rPr>
        <w:t>, which employs general-purpose LLMs for direct data interpretation and querying.</w:t>
      </w:r>
    </w:p>
    <w:p w14:paraId="60A3D662"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The analysis reveals a fundamental trade-off. The Encoder-Retrieval approach, exemplified by models like DR.EHR, achieves state-of-the-art performance in predicting clinical events from structured data by learning intricate temporal patterns.</w:t>
      </w:r>
      <w:r w:rsidRPr="001B3460">
        <w:rPr>
          <w:rFonts w:ascii="Calibri" w:eastAsia="Google Sans Text" w:hAnsi="Calibri" w:cs="Calibri"/>
          <w:vertAlign w:val="superscript"/>
        </w:rPr>
        <w:t>5</w:t>
      </w:r>
      <w:r w:rsidRPr="001B3460">
        <w:rPr>
          <w:rFonts w:ascii="Calibri" w:eastAsia="Google Sans Text" w:hAnsi="Calibri" w:cs="Calibri"/>
        </w:rPr>
        <w:t xml:space="preserve"> However, these models are critically vulnerable to the poor quality and incompleteness of structured EHR data for depression, where essential clinical nuance is often confined to unstructured notes.</w:t>
      </w:r>
      <w:r w:rsidRPr="001B3460">
        <w:rPr>
          <w:rFonts w:ascii="Calibri" w:eastAsia="Google Sans Text" w:hAnsi="Calibri" w:cs="Calibri"/>
          <w:vertAlign w:val="superscript"/>
        </w:rPr>
        <w:t>7</w:t>
      </w:r>
      <w:r w:rsidRPr="001B3460">
        <w:rPr>
          <w:rFonts w:ascii="Calibri" w:eastAsia="Google Sans Text" w:hAnsi="Calibri" w:cs="Calibri"/>
        </w:rPr>
        <w:t xml:space="preserve"> This vulnerability creates a significant risk of the models overfitting to system-level artifacts of healthcare delivery (e.g., billing practices) rather than patient-level pathophysiology, leading to brittle models with poor generalizability across different clinical settings.</w:t>
      </w:r>
      <w:r w:rsidRPr="001B3460">
        <w:rPr>
          <w:rFonts w:ascii="Calibri" w:eastAsia="Google Sans Text" w:hAnsi="Calibri" w:cs="Calibri"/>
          <w:vertAlign w:val="superscript"/>
        </w:rPr>
        <w:t>9</w:t>
      </w:r>
    </w:p>
    <w:p w14:paraId="08645C46"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Conversely, the Direct LLM Retrieval paradigm offers the flexibility to process unstructured text, seemingly bypassing the limitations of coded data.</w:t>
      </w:r>
      <w:r w:rsidRPr="001B3460">
        <w:rPr>
          <w:rFonts w:ascii="Calibri" w:eastAsia="Google Sans Text" w:hAnsi="Calibri" w:cs="Calibri"/>
          <w:vertAlign w:val="superscript"/>
        </w:rPr>
        <w:t>10</w:t>
      </w:r>
      <w:r w:rsidRPr="001B3460">
        <w:rPr>
          <w:rFonts w:ascii="Calibri" w:eastAsia="Google Sans Text" w:hAnsi="Calibri" w:cs="Calibri"/>
        </w:rPr>
        <w:t xml:space="preserve"> Yet, this flexibility comes at the cost of verifiable reliability. LLMs are prone to generating plausible but factually incorrect information—a phenomenon known as "hallucination"—with documented accuracy rates that are often insufficient for high-stakes clinical decision-making.</w:t>
      </w:r>
      <w:r w:rsidRPr="001B3460">
        <w:rPr>
          <w:rFonts w:ascii="Calibri" w:eastAsia="Google Sans Text" w:hAnsi="Calibri" w:cs="Calibri"/>
          <w:vertAlign w:val="superscript"/>
        </w:rPr>
        <w:t>11</w:t>
      </w:r>
      <w:r w:rsidRPr="001B3460">
        <w:rPr>
          <w:rFonts w:ascii="Calibri" w:eastAsia="Google Sans Text" w:hAnsi="Calibri" w:cs="Calibri"/>
        </w:rPr>
        <w:t xml:space="preserve"> Mitigation strategies like Retrieval-Augmented Generation (RAG) are promising but introduce new layers of complexity and potential failure points, effectively trading a data quality problem for a verifiability crisis.</w:t>
      </w:r>
      <w:r w:rsidRPr="001B3460">
        <w:rPr>
          <w:rFonts w:ascii="Calibri" w:eastAsia="Google Sans Text" w:hAnsi="Calibri" w:cs="Calibri"/>
          <w:vertAlign w:val="superscript"/>
        </w:rPr>
        <w:t>13</w:t>
      </w:r>
    </w:p>
    <w:p w14:paraId="0D34A7C6"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A central finding of this report is that the term "digital twin" is a conceptual overreach for current correlational models. The core promise of a digital twin is the ability to simulate "what-if" scenarios, a fundamentally causal task.</w:t>
      </w:r>
      <w:r w:rsidRPr="001B3460">
        <w:rPr>
          <w:rFonts w:ascii="Calibri" w:eastAsia="Google Sans Text" w:hAnsi="Calibri" w:cs="Calibri"/>
          <w:vertAlign w:val="superscript"/>
        </w:rPr>
        <w:t>14</w:t>
      </w:r>
      <w:r w:rsidRPr="001B3460">
        <w:rPr>
          <w:rFonts w:ascii="Calibri" w:eastAsia="Google Sans Text" w:hAnsi="Calibri" w:cs="Calibri"/>
        </w:rPr>
        <w:t xml:space="preserve"> Neither paradigm, in its current form, robustly supports causal inference from observational EHR data, a prerequisite for true clinical simulation.</w:t>
      </w:r>
      <w:r w:rsidRPr="001B3460">
        <w:rPr>
          <w:rFonts w:ascii="Calibri" w:eastAsia="Google Sans Text" w:hAnsi="Calibri" w:cs="Calibri"/>
          <w:vertAlign w:val="superscript"/>
        </w:rPr>
        <w:t>16</w:t>
      </w:r>
      <w:r w:rsidRPr="001B3460">
        <w:rPr>
          <w:rFonts w:ascii="Calibri" w:eastAsia="Google Sans Text" w:hAnsi="Calibri" w:cs="Calibri"/>
        </w:rPr>
        <w:t xml:space="preserve"> Achieving this goal requires a paradigm shift that integrates principles of causal inference, verifiable interpretability, and robust generalizability as foundational, not secondary, objectives.</w:t>
      </w:r>
      <w:r w:rsidRPr="001B3460">
        <w:rPr>
          <w:rFonts w:ascii="Calibri" w:eastAsia="Google Sans Text" w:hAnsi="Calibri" w:cs="Calibri"/>
          <w:vertAlign w:val="superscript"/>
        </w:rPr>
        <w:t>18</w:t>
      </w:r>
    </w:p>
    <w:p w14:paraId="38150F34"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u w:val="single"/>
        </w:rPr>
        <w:t>The most viable path forward is a hybrid architecture that separates representation learning from user interaction</w:t>
      </w:r>
      <w:r w:rsidRPr="001B3460">
        <w:rPr>
          <w:rFonts w:ascii="Calibri" w:eastAsia="Google Sans Text" w:hAnsi="Calibri" w:cs="Calibri"/>
        </w:rPr>
        <w:t>. This model would use a specialized encoder to synthesize a high-fidelity, structured patient representation from all available EHR data, which then serves as a grounded knowledge base for a RAG-constrained LLM query interface. This report concludes with strategic recommendations: prioritize the development of interpretable and causal models, invest in standardized data infrastructure and privacy-preserving techniques, promote the development of hybrid architectures, and establish rigorous, clinically-grounded evaluation frameworks that move beyond simple predictive accuracy to assess safety, robustness, and real-world utility.</w:t>
      </w:r>
    </w:p>
    <w:p w14:paraId="1AF5012E"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2583BC9C" w14:textId="0DE6EA06" w:rsidR="00BA42C7" w:rsidRPr="001B3460" w:rsidRDefault="00000000" w:rsidP="001B3460">
      <w:pPr>
        <w:pStyle w:val="Heading2"/>
        <w:spacing w:before="0" w:after="120"/>
        <w:rPr>
          <w:rFonts w:ascii="Calibri" w:eastAsia="Google Sans" w:hAnsi="Calibri" w:cs="Calibri"/>
          <w:sz w:val="22"/>
          <w:szCs w:val="22"/>
        </w:rPr>
      </w:pPr>
      <w:r w:rsidRPr="001B3460">
        <w:rPr>
          <w:rFonts w:ascii="Calibri" w:eastAsia="Google Sans" w:hAnsi="Calibri" w:cs="Calibri"/>
          <w:sz w:val="22"/>
          <w:szCs w:val="22"/>
        </w:rPr>
        <w:t>I. The Psychiatric Digital Twin: Conceptual Framework and Methodological Imperatives</w:t>
      </w:r>
    </w:p>
    <w:p w14:paraId="49E77D38"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 concept of the digital twin, originating in manufacturing and aviation, has been adapted for healthcare with the ambitious goal of creating personalized, predictive, and proactive medical care.</w:t>
      </w:r>
      <w:r w:rsidRPr="001B3460">
        <w:rPr>
          <w:rFonts w:ascii="Calibri" w:eastAsia="Google Sans Text" w:hAnsi="Calibri" w:cs="Calibri"/>
          <w:vertAlign w:val="superscript"/>
        </w:rPr>
        <w:t>1</w:t>
      </w:r>
      <w:r w:rsidRPr="001B3460">
        <w:rPr>
          <w:rFonts w:ascii="Calibri" w:eastAsia="Google Sans Text" w:hAnsi="Calibri" w:cs="Calibri"/>
        </w:rPr>
        <w:t xml:space="preserve"> This section establishes the conceptual framework for a Human Digital Twin (HDT), delineates the unique challenges posed by psychiatric conditions like depression, and argues for the methodological imperative of integrating causal inference as a core component of any system aspiring to be a true "twin."</w:t>
      </w:r>
    </w:p>
    <w:p w14:paraId="50BBB14C"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11CB5B05" w14:textId="6EAC99DB" w:rsidR="00BA42C7" w:rsidRPr="001B3460" w:rsidRDefault="00000000" w:rsidP="001B3460">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 xml:space="preserve">1.1. Defining the Human Digital Twin (HDT) in </w:t>
      </w:r>
      <w:proofErr w:type="gramStart"/>
      <w:r w:rsidRPr="001B3460">
        <w:rPr>
          <w:rFonts w:ascii="Calibri" w:eastAsia="Google Sans" w:hAnsi="Calibri" w:cs="Calibri"/>
          <w:sz w:val="22"/>
          <w:szCs w:val="22"/>
        </w:rPr>
        <w:t>Healthcare</w:t>
      </w:r>
      <w:proofErr w:type="gramEnd"/>
    </w:p>
    <w:p w14:paraId="416F82E4"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u w:val="single"/>
        </w:rPr>
        <w:t>A Human Digital Twin is a virtual, dynamic model designed to replicate a real-world physical entity—in this case, a human patient</w:t>
      </w:r>
      <w:r w:rsidRPr="001B3460">
        <w:rPr>
          <w:rFonts w:ascii="Calibri" w:eastAsia="Google Sans Text" w:hAnsi="Calibri" w:cs="Calibri"/>
        </w:rPr>
        <w:t>.</w:t>
      </w:r>
      <w:r w:rsidRPr="001B3460">
        <w:rPr>
          <w:rFonts w:ascii="Calibri" w:eastAsia="Google Sans Text" w:hAnsi="Calibri" w:cs="Calibri"/>
          <w:vertAlign w:val="superscript"/>
        </w:rPr>
        <w:t>1</w:t>
      </w:r>
      <w:r w:rsidRPr="001B3460">
        <w:rPr>
          <w:rFonts w:ascii="Calibri" w:eastAsia="Google Sans Text" w:hAnsi="Calibri" w:cs="Calibri"/>
        </w:rPr>
        <w:t xml:space="preserve"> Unlike static computational models, an HDT is defined by a continuous, bidirectional link with its physical counterpart, allowing the virtual model to be constantly updated with real-time data.</w:t>
      </w:r>
      <w:r w:rsidRPr="001B3460">
        <w:rPr>
          <w:rFonts w:ascii="Calibri" w:eastAsia="Google Sans Text" w:hAnsi="Calibri" w:cs="Calibri"/>
          <w:vertAlign w:val="superscript"/>
        </w:rPr>
        <w:t>2</w:t>
      </w:r>
      <w:r w:rsidRPr="001B3460">
        <w:rPr>
          <w:rFonts w:ascii="Calibri" w:eastAsia="Google Sans Text" w:hAnsi="Calibri" w:cs="Calibri"/>
        </w:rPr>
        <w:t xml:space="preserve"> The objective is to create </w:t>
      </w:r>
      <w:r w:rsidRPr="001B3460">
        <w:rPr>
          <w:rFonts w:ascii="Calibri" w:eastAsia="Google Sans Text" w:hAnsi="Calibri" w:cs="Calibri"/>
        </w:rPr>
        <w:lastRenderedPageBreak/>
        <w:t>a digital replica that mirrors the patient's evolving state across multiple scales, incorporating molecular, physiological, emotional, and lifestyle factors.</w:t>
      </w:r>
      <w:r w:rsidRPr="001B3460">
        <w:rPr>
          <w:rFonts w:ascii="Calibri" w:eastAsia="Google Sans Text" w:hAnsi="Calibri" w:cs="Calibri"/>
          <w:vertAlign w:val="superscript"/>
        </w:rPr>
        <w:t>1</w:t>
      </w:r>
    </w:p>
    <w:p w14:paraId="6DFD47E1"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u w:val="single"/>
        </w:rPr>
        <w:t>The data sources for constructing an HDT are inherently multimodal</w:t>
      </w:r>
      <w:r w:rsidRPr="001B3460">
        <w:rPr>
          <w:rFonts w:ascii="Calibri" w:eastAsia="Google Sans Text" w:hAnsi="Calibri" w:cs="Calibri"/>
        </w:rPr>
        <w:t>, drawing from a wide array of inputs including Electronic Health Records (EHRs), medical imaging, laboratory results, genetic data, and real-time streams from wearable sensors and Internet of Things (IoT) devices.</w:t>
      </w:r>
      <w:r w:rsidRPr="001B3460">
        <w:rPr>
          <w:rFonts w:ascii="Calibri" w:eastAsia="Google Sans Text" w:hAnsi="Calibri" w:cs="Calibri"/>
          <w:vertAlign w:val="superscript"/>
        </w:rPr>
        <w:t>2</w:t>
      </w:r>
      <w:r w:rsidRPr="001B3460">
        <w:rPr>
          <w:rFonts w:ascii="Calibri" w:eastAsia="Google Sans Text" w:hAnsi="Calibri" w:cs="Calibri"/>
        </w:rPr>
        <w:t xml:space="preserve"> This comprehensive data integration is intended to fuel advanced analytics, machine learning, and simulation tools to analyze the patient's current state, predict future trajectories, and optimize clinical interventions.</w:t>
      </w:r>
      <w:r w:rsidRPr="001B3460">
        <w:rPr>
          <w:rFonts w:ascii="Calibri" w:eastAsia="Google Sans Text" w:hAnsi="Calibri" w:cs="Calibri"/>
          <w:vertAlign w:val="superscript"/>
        </w:rPr>
        <w:t>2</w:t>
      </w:r>
      <w:r w:rsidRPr="001B3460">
        <w:rPr>
          <w:rFonts w:ascii="Calibri" w:eastAsia="Google Sans Text" w:hAnsi="Calibri" w:cs="Calibri"/>
        </w:rPr>
        <w:t xml:space="preserve"> The ultimate promise of the HDT is to shift the paradigm of healthcare from being reactive, where clinicians respond to manifest symptoms, to being proactive, where potential health issues are identified and addressed before they escalate.</w:t>
      </w:r>
      <w:r w:rsidRPr="001B3460">
        <w:rPr>
          <w:rFonts w:ascii="Calibri" w:eastAsia="Google Sans Text" w:hAnsi="Calibri" w:cs="Calibri"/>
          <w:vertAlign w:val="superscript"/>
        </w:rPr>
        <w:t>2</w:t>
      </w:r>
    </w:p>
    <w:p w14:paraId="28BB87E3"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While the HDT concept has garnered significant attention, its practical application remains in nascent stages, particularly for complex, multifactorial diseases.</w:t>
      </w:r>
      <w:r w:rsidRPr="001B3460">
        <w:rPr>
          <w:rFonts w:ascii="Calibri" w:eastAsia="Google Sans Text" w:hAnsi="Calibri" w:cs="Calibri"/>
          <w:vertAlign w:val="superscript"/>
        </w:rPr>
        <w:t>14</w:t>
      </w:r>
      <w:r w:rsidRPr="001B3460">
        <w:rPr>
          <w:rFonts w:ascii="Calibri" w:eastAsia="Google Sans Text" w:hAnsi="Calibri" w:cs="Calibri"/>
        </w:rPr>
        <w:t xml:space="preserve"> The term itself is often used ambiguously, designating a wide range of data-driven applications without a standardized definition of its required components or capabilities.</w:t>
      </w:r>
      <w:r w:rsidRPr="001B3460">
        <w:rPr>
          <w:rFonts w:ascii="Calibri" w:eastAsia="Google Sans Text" w:hAnsi="Calibri" w:cs="Calibri"/>
          <w:vertAlign w:val="superscript"/>
        </w:rPr>
        <w:t>25</w:t>
      </w:r>
      <w:r w:rsidRPr="001B3460">
        <w:rPr>
          <w:rFonts w:ascii="Calibri" w:eastAsia="Google Sans Text" w:hAnsi="Calibri" w:cs="Calibri"/>
        </w:rPr>
        <w:t xml:space="preserve"> </w:t>
      </w:r>
      <w:r w:rsidRPr="001B3460">
        <w:rPr>
          <w:rFonts w:ascii="Calibri" w:eastAsia="Google Sans Text" w:hAnsi="Calibri" w:cs="Calibri"/>
          <w:u w:val="single"/>
        </w:rPr>
        <w:t>Progress has been most tangible in specialties where the system being modeled is governed by well-understood biophysical laws</w:t>
      </w:r>
      <w:r w:rsidRPr="001B3460">
        <w:rPr>
          <w:rFonts w:ascii="Calibri" w:eastAsia="Google Sans Text" w:hAnsi="Calibri" w:cs="Calibri"/>
        </w:rPr>
        <w:t>. In cardiology, for instance, digital twins of the heart can be constructed from imaging and hemodynamic data to simulate blood flow and test surgical options virtually before an operation.</w:t>
      </w:r>
      <w:r w:rsidRPr="001B3460">
        <w:rPr>
          <w:rFonts w:ascii="Calibri" w:eastAsia="Google Sans Text" w:hAnsi="Calibri" w:cs="Calibri"/>
          <w:vertAlign w:val="superscript"/>
        </w:rPr>
        <w:t>2</w:t>
      </w:r>
      <w:r w:rsidRPr="001B3460">
        <w:rPr>
          <w:rFonts w:ascii="Calibri" w:eastAsia="Google Sans Text" w:hAnsi="Calibri" w:cs="Calibri"/>
        </w:rPr>
        <w:t xml:space="preserve"> However, extending this concept to domains where the underlying mechanisms are less defined, such as psychiatry, presents a far greater challenge.</w:t>
      </w:r>
    </w:p>
    <w:p w14:paraId="3D58E0C3"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20B92995" w14:textId="357DC0D5" w:rsidR="00BA42C7" w:rsidRPr="001B3460" w:rsidRDefault="00000000" w:rsidP="001B3460">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1.2. The Unique Challenge of Depression: Moving Beyond Physiological Analogs</w:t>
      </w:r>
    </w:p>
    <w:p w14:paraId="7A7D0301"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Constructing a digital twin for Major Depressive Disorder (MDD) is fundamentally different from modeling a physical organ like the heart. </w:t>
      </w:r>
      <w:r w:rsidRPr="001B3460">
        <w:rPr>
          <w:rFonts w:ascii="Calibri" w:eastAsia="Google Sans Text" w:hAnsi="Calibri" w:cs="Calibri"/>
          <w:u w:val="single"/>
        </w:rPr>
        <w:t>Whereas a cardiac twin is built upon measurable biophysical parameters like blood pressure and anatomical structure, a depression twin must represent a complex, multifactorial state defined by a confluence of subjective experiences, behavioral patterns, social factors, and latent neurobiological processes</w:t>
      </w:r>
      <w:r w:rsidRPr="001B3460">
        <w:rPr>
          <w:rFonts w:ascii="Calibri" w:eastAsia="Google Sans Text" w:hAnsi="Calibri" w:cs="Calibri"/>
        </w:rPr>
        <w:t>.</w:t>
      </w:r>
      <w:r w:rsidRPr="001B3460">
        <w:rPr>
          <w:rFonts w:ascii="Calibri" w:eastAsia="Google Sans Text" w:hAnsi="Calibri" w:cs="Calibri"/>
          <w:vertAlign w:val="superscript"/>
        </w:rPr>
        <w:t>3</w:t>
      </w:r>
      <w:r w:rsidRPr="001B3460">
        <w:rPr>
          <w:rFonts w:ascii="Calibri" w:eastAsia="Google Sans Text" w:hAnsi="Calibri" w:cs="Calibri"/>
        </w:rPr>
        <w:t xml:space="preserve"> The "ground truth" for depression is not a single, easily quantifiable metric but a clinical construct derived from patient self-report, clinician observation, and standardized rating scales.</w:t>
      </w:r>
    </w:p>
    <w:p w14:paraId="28E94150"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This complexity is compounded by the nature of the primary data source: the EHR. EHR data, particularly for mental health, is notoriously challenging to work with for several reasons:</w:t>
      </w:r>
    </w:p>
    <w:p w14:paraId="177B6EF6" w14:textId="77777777" w:rsidR="00BA42C7" w:rsidRPr="001B3460" w:rsidRDefault="00000000" w:rsidP="001B3460">
      <w:pPr>
        <w:numPr>
          <w:ilvl w:val="0"/>
          <w:numId w:val="1"/>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Incompleteness and Lack of Standardization:</w:t>
      </w:r>
      <w:r w:rsidRPr="001B3460">
        <w:rPr>
          <w:rFonts w:ascii="Calibri" w:eastAsia="Google Sans Text" w:hAnsi="Calibri" w:cs="Calibri"/>
        </w:rPr>
        <w:t xml:space="preserve"> Depression care is often poorly documented in structured fields. Diagnoses may be missed or not formally coded, and standardized screening tools are not always used or recorded consistently.</w:t>
      </w:r>
      <w:r w:rsidRPr="001B3460">
        <w:rPr>
          <w:rFonts w:ascii="Calibri" w:eastAsia="Google Sans Text" w:hAnsi="Calibri" w:cs="Calibri"/>
          <w:vertAlign w:val="superscript"/>
        </w:rPr>
        <w:t>7</w:t>
      </w:r>
      <w:r w:rsidRPr="001B3460">
        <w:rPr>
          <w:rFonts w:ascii="Calibri" w:eastAsia="Google Sans Text" w:hAnsi="Calibri" w:cs="Calibri"/>
        </w:rPr>
        <w:t xml:space="preserve"> This makes it difficult to reliably identify depressed patients or track their clinical course using coded data alone.</w:t>
      </w:r>
    </w:p>
    <w:p w14:paraId="755C7F1F" w14:textId="77777777" w:rsidR="00BA42C7" w:rsidRPr="001B3460" w:rsidRDefault="00000000" w:rsidP="001B3460">
      <w:pPr>
        <w:numPr>
          <w:ilvl w:val="0"/>
          <w:numId w:val="1"/>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Primacy of Unstructured Data:</w:t>
      </w:r>
      <w:r w:rsidRPr="001B3460">
        <w:rPr>
          <w:rFonts w:ascii="Calibri" w:eastAsia="Google Sans Text" w:hAnsi="Calibri" w:cs="Calibri"/>
        </w:rPr>
        <w:t xml:space="preserve"> A significant portion of clinically rich information—including symptom severity, treatment response, side effects, psychosocial stressors, and patient-reported outcomes—is documented in unstructured free-text clinical notes.</w:t>
      </w:r>
      <w:r w:rsidRPr="001B3460">
        <w:rPr>
          <w:rFonts w:ascii="Calibri" w:eastAsia="Google Sans Text" w:hAnsi="Calibri" w:cs="Calibri"/>
          <w:vertAlign w:val="superscript"/>
        </w:rPr>
        <w:t>28</w:t>
      </w:r>
      <w:r w:rsidRPr="001B3460">
        <w:rPr>
          <w:rFonts w:ascii="Calibri" w:eastAsia="Google Sans Text" w:hAnsi="Calibri" w:cs="Calibri"/>
        </w:rPr>
        <w:t xml:space="preserve"> Studies have quantitatively confirmed that unstructured data contains substantial and critical information that is absent from the structured portion of the EHR, making reliance on structured data alone insufficient.</w:t>
      </w:r>
      <w:r w:rsidRPr="001B3460">
        <w:rPr>
          <w:rFonts w:ascii="Calibri" w:eastAsia="Google Sans Text" w:hAnsi="Calibri" w:cs="Calibri"/>
          <w:vertAlign w:val="superscript"/>
        </w:rPr>
        <w:t>8</w:t>
      </w:r>
    </w:p>
    <w:p w14:paraId="7885CB75" w14:textId="77777777" w:rsidR="00BA42C7" w:rsidRPr="001B3460" w:rsidRDefault="00000000" w:rsidP="001B3460">
      <w:pPr>
        <w:numPr>
          <w:ilvl w:val="0"/>
          <w:numId w:val="1"/>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Data Heterogeneity:</w:t>
      </w:r>
      <w:r w:rsidRPr="001B3460">
        <w:rPr>
          <w:rFonts w:ascii="Calibri" w:eastAsia="Google Sans Text" w:hAnsi="Calibri" w:cs="Calibri"/>
        </w:rPr>
        <w:t xml:space="preserve"> The data is inherently heterogeneous, comprising a mix of diagnostic codes (ICD), procedure codes (CPT), medication orders, lab values, and clinical narratives.</w:t>
      </w:r>
      <w:r w:rsidRPr="001B3460">
        <w:rPr>
          <w:rFonts w:ascii="Calibri" w:eastAsia="Google Sans Text" w:hAnsi="Calibri" w:cs="Calibri"/>
          <w:vertAlign w:val="superscript"/>
        </w:rPr>
        <w:t>22</w:t>
      </w:r>
      <w:r w:rsidRPr="001B3460">
        <w:rPr>
          <w:rFonts w:ascii="Calibri" w:eastAsia="Google Sans Text" w:hAnsi="Calibri" w:cs="Calibri"/>
        </w:rPr>
        <w:t xml:space="preserve"> This complexity makes it difficult to create a unified, coherent representation of the patient. One proposed solution is to move away from the idea of a single, monolithic digital representation and instead adopt a data architecture that leverages multiple, purpose-built digital representations of the patient along their clinical pathway.</w:t>
      </w:r>
      <w:r w:rsidRPr="001B3460">
        <w:rPr>
          <w:rFonts w:ascii="Calibri" w:eastAsia="Google Sans Text" w:hAnsi="Calibri" w:cs="Calibri"/>
          <w:vertAlign w:val="superscript"/>
        </w:rPr>
        <w:t>25</w:t>
      </w:r>
    </w:p>
    <w:p w14:paraId="3FDB49CE"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These data challenges mean that any model of depression built from EHR data is, at best, an incomplete and noisy proxy for the patient's true clinical state. This fundamental limitation must be acknowledged in the design and evaluation of any proposed digital twin.</w:t>
      </w:r>
    </w:p>
    <w:p w14:paraId="5AAB38E1"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464939B4" w14:textId="345B7DA7" w:rsidR="00BA42C7" w:rsidRPr="001B3460" w:rsidRDefault="00000000" w:rsidP="001B3460">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1.3. The Imperative of Causal Inference for Clinical Simulation</w:t>
      </w:r>
    </w:p>
    <w:p w14:paraId="27DF4C31" w14:textId="7E0AB6E2"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u w:val="single"/>
        </w:rPr>
        <w:t>The ultimate utility of a digital twin lies in its ability to serve as a "flight simulator for the human body,"</w:t>
      </w:r>
      <w:r w:rsidRPr="001B3460">
        <w:rPr>
          <w:rFonts w:ascii="Calibri" w:eastAsia="Google Sans Text" w:hAnsi="Calibri" w:cs="Calibri"/>
        </w:rPr>
        <w:t xml:space="preserve"> allowing clinicians to safely test "what-if" scenarios without risk to the patient.</w:t>
      </w:r>
      <w:r w:rsidRPr="001B3460">
        <w:rPr>
          <w:rFonts w:ascii="Calibri" w:eastAsia="Google Sans Text" w:hAnsi="Calibri" w:cs="Calibri"/>
          <w:vertAlign w:val="superscript"/>
        </w:rPr>
        <w:t>14</w:t>
      </w:r>
      <w:r w:rsidRPr="001B3460">
        <w:rPr>
          <w:rFonts w:ascii="Calibri" w:eastAsia="Google Sans Text" w:hAnsi="Calibri" w:cs="Calibri"/>
        </w:rPr>
        <w:t xml:space="preserve"> Questions such as, "What is the likely outcome if </w:t>
      </w:r>
      <w:r w:rsidRPr="001B3460">
        <w:rPr>
          <w:rFonts w:ascii="Calibri" w:eastAsia="Google Sans Text" w:hAnsi="Calibri" w:cs="Calibri"/>
        </w:rPr>
        <w:lastRenderedPageBreak/>
        <w:t>I prescribe this patient an SSRI versus an SNRI?" or "How will this patient's trajectory change if they engage in psychotherapy?" are central to personalized medicine. Critically, these are not questions of correlation; they are questions of</w:t>
      </w:r>
      <w:r w:rsidR="001B3460">
        <w:rPr>
          <w:rFonts w:ascii="Calibri" w:eastAsia="Google Sans Text" w:hAnsi="Calibri" w:cs="Calibri"/>
        </w:rPr>
        <w:t xml:space="preserve"> </w:t>
      </w:r>
      <w:r w:rsidRPr="001B3460">
        <w:rPr>
          <w:rFonts w:ascii="Calibri" w:eastAsia="Google Sans Text" w:hAnsi="Calibri" w:cs="Calibri"/>
          <w:b/>
        </w:rPr>
        <w:t>causation</w:t>
      </w:r>
      <w:r w:rsidRPr="001B3460">
        <w:rPr>
          <w:rFonts w:ascii="Calibri" w:eastAsia="Google Sans Text" w:hAnsi="Calibri" w:cs="Calibri"/>
        </w:rPr>
        <w:t>. Answering them requires a model that can estimate the causal effect of an intervention.</w:t>
      </w:r>
    </w:p>
    <w:p w14:paraId="3C7ACA0C"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This requirement exposes a significant gap in the current discourse around digital twins. Most machine learning models applied to EHR data, including those for predicting depression, are correlational. They excel at identifying patterns in past data to predict future events but cannot, without specific methodological safeguards, distinguish between correlation and causation.</w:t>
      </w:r>
      <w:r w:rsidRPr="001B3460">
        <w:rPr>
          <w:rFonts w:ascii="Calibri" w:eastAsia="Google Sans Text" w:hAnsi="Calibri" w:cs="Calibri"/>
          <w:vertAlign w:val="superscript"/>
        </w:rPr>
        <w:t>6</w:t>
      </w:r>
      <w:r w:rsidRPr="001B3460">
        <w:rPr>
          <w:rFonts w:ascii="Calibri" w:eastAsia="Google Sans Text" w:hAnsi="Calibri" w:cs="Calibri"/>
        </w:rPr>
        <w:t xml:space="preserve"> </w:t>
      </w:r>
      <w:r w:rsidRPr="001B3460">
        <w:rPr>
          <w:rFonts w:ascii="Calibri" w:eastAsia="Google Sans Text" w:hAnsi="Calibri" w:cs="Calibri"/>
          <w:u w:val="single"/>
        </w:rPr>
        <w:t>A model might learn that patients who receive a certain second-line medication have better outcomes, but this could be because only healthier patients survive long enough to receive it (immortal time bias), or because it is only prescribed by a specialist whose patients do better regardless (confounding by indication)</w:t>
      </w:r>
      <w:r w:rsidRPr="001B3460">
        <w:rPr>
          <w:rFonts w:ascii="Calibri" w:eastAsia="Google Sans Text" w:hAnsi="Calibri" w:cs="Calibri"/>
        </w:rPr>
        <w:t>.</w:t>
      </w:r>
      <w:r w:rsidRPr="001B3460">
        <w:rPr>
          <w:rFonts w:ascii="Calibri" w:eastAsia="Google Sans Text" w:hAnsi="Calibri" w:cs="Calibri"/>
          <w:vertAlign w:val="superscript"/>
        </w:rPr>
        <w:t>16</w:t>
      </w:r>
      <w:r w:rsidRPr="001B3460">
        <w:rPr>
          <w:rFonts w:ascii="Calibri" w:eastAsia="Google Sans Text" w:hAnsi="Calibri" w:cs="Calibri"/>
        </w:rPr>
        <w:t xml:space="preserve"> A model that has learned such spurious correlations is not a valid tool for clinical simulation; acting on its predictions could lead to suboptimal or even harmful decisions.</w:t>
      </w:r>
    </w:p>
    <w:p w14:paraId="4DA5FB76"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Therefore, building a true psychiatric digital twin necessitates the integration of formal causal inference frameworks. This involves a paradigm shift in study design and analysis </w:t>
      </w:r>
      <w:r w:rsidRPr="001B3460">
        <w:rPr>
          <w:rFonts w:ascii="Calibri" w:eastAsia="Google Sans Text" w:hAnsi="Calibri" w:cs="Calibri"/>
          <w:vertAlign w:val="superscript"/>
        </w:rPr>
        <w:t>16</w:t>
      </w:r>
      <w:r w:rsidRPr="001B3460">
        <w:rPr>
          <w:rFonts w:ascii="Calibri" w:eastAsia="Google Sans Text" w:hAnsi="Calibri" w:cs="Calibri"/>
        </w:rPr>
        <w:t>:</w:t>
      </w:r>
    </w:p>
    <w:p w14:paraId="73ACB42F" w14:textId="77777777" w:rsidR="00BA42C7" w:rsidRPr="001B3460" w:rsidRDefault="00000000" w:rsidP="001B3460">
      <w:pPr>
        <w:numPr>
          <w:ilvl w:val="0"/>
          <w:numId w:val="5"/>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Target Trial Emulation:</w:t>
      </w:r>
      <w:r w:rsidRPr="001B3460">
        <w:rPr>
          <w:rFonts w:ascii="Calibri" w:eastAsia="Google Sans Text" w:hAnsi="Calibri" w:cs="Calibri"/>
        </w:rPr>
        <w:t xml:space="preserve"> The research question must be framed with the rigor of a hypothetical randomized clinical trial (RCT), using the PICO(T) framework: </w:t>
      </w:r>
      <w:r w:rsidRPr="001B3460">
        <w:rPr>
          <w:rFonts w:ascii="Calibri" w:eastAsia="Google Sans Text" w:hAnsi="Calibri" w:cs="Calibri"/>
          <w:b/>
        </w:rPr>
        <w:t>P</w:t>
      </w:r>
      <w:r w:rsidRPr="001B3460">
        <w:rPr>
          <w:rFonts w:ascii="Calibri" w:eastAsia="Google Sans Text" w:hAnsi="Calibri" w:cs="Calibri"/>
        </w:rPr>
        <w:t xml:space="preserve">opulation, </w:t>
      </w:r>
      <w:r w:rsidRPr="001B3460">
        <w:rPr>
          <w:rFonts w:ascii="Calibri" w:eastAsia="Google Sans Text" w:hAnsi="Calibri" w:cs="Calibri"/>
          <w:b/>
        </w:rPr>
        <w:t>I</w:t>
      </w:r>
      <w:r w:rsidRPr="001B3460">
        <w:rPr>
          <w:rFonts w:ascii="Calibri" w:eastAsia="Google Sans Text" w:hAnsi="Calibri" w:cs="Calibri"/>
        </w:rPr>
        <w:t xml:space="preserve">ntervention, </w:t>
      </w:r>
      <w:r w:rsidRPr="001B3460">
        <w:rPr>
          <w:rFonts w:ascii="Calibri" w:eastAsia="Google Sans Text" w:hAnsi="Calibri" w:cs="Calibri"/>
          <w:b/>
        </w:rPr>
        <w:t>C</w:t>
      </w:r>
      <w:r w:rsidRPr="001B3460">
        <w:rPr>
          <w:rFonts w:ascii="Calibri" w:eastAsia="Google Sans Text" w:hAnsi="Calibri" w:cs="Calibri"/>
        </w:rPr>
        <w:t xml:space="preserve">ontrol, </w:t>
      </w:r>
      <w:r w:rsidRPr="001B3460">
        <w:rPr>
          <w:rFonts w:ascii="Calibri" w:eastAsia="Google Sans Text" w:hAnsi="Calibri" w:cs="Calibri"/>
          <w:b/>
        </w:rPr>
        <w:t>O</w:t>
      </w:r>
      <w:r w:rsidRPr="001B3460">
        <w:rPr>
          <w:rFonts w:ascii="Calibri" w:eastAsia="Google Sans Text" w:hAnsi="Calibri" w:cs="Calibri"/>
        </w:rPr>
        <w:t xml:space="preserve">utcome, and </w:t>
      </w:r>
      <w:r w:rsidRPr="001B3460">
        <w:rPr>
          <w:rFonts w:ascii="Calibri" w:eastAsia="Google Sans Text" w:hAnsi="Calibri" w:cs="Calibri"/>
          <w:b/>
        </w:rPr>
        <w:t>T</w:t>
      </w:r>
      <w:r w:rsidRPr="001B3460">
        <w:rPr>
          <w:rFonts w:ascii="Calibri" w:eastAsia="Google Sans Text" w:hAnsi="Calibri" w:cs="Calibri"/>
        </w:rPr>
        <w:t>ime.</w:t>
      </w:r>
      <w:r w:rsidRPr="001B3460">
        <w:rPr>
          <w:rFonts w:ascii="Calibri" w:eastAsia="Google Sans Text" w:hAnsi="Calibri" w:cs="Calibri"/>
          <w:vertAlign w:val="superscript"/>
        </w:rPr>
        <w:t>16</w:t>
      </w:r>
      <w:r w:rsidRPr="001B3460">
        <w:rPr>
          <w:rFonts w:ascii="Calibri" w:eastAsia="Google Sans Text" w:hAnsi="Calibri" w:cs="Calibri"/>
        </w:rPr>
        <w:t xml:space="preserve"> This disciplined approach helps to explicitly define the causal question and guard against common biases in observational data, such as selection bias and immortal time bias.</w:t>
      </w:r>
      <w:r w:rsidRPr="001B3460">
        <w:rPr>
          <w:rFonts w:ascii="Calibri" w:eastAsia="Google Sans Text" w:hAnsi="Calibri" w:cs="Calibri"/>
          <w:vertAlign w:val="superscript"/>
        </w:rPr>
        <w:t>16</w:t>
      </w:r>
    </w:p>
    <w:p w14:paraId="43895281" w14:textId="77777777" w:rsidR="00BA42C7" w:rsidRPr="001B3460" w:rsidRDefault="00000000" w:rsidP="001B3460">
      <w:pPr>
        <w:numPr>
          <w:ilvl w:val="0"/>
          <w:numId w:val="5"/>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Causal Modeling:</w:t>
      </w:r>
      <w:r w:rsidRPr="001B3460">
        <w:rPr>
          <w:rFonts w:ascii="Calibri" w:eastAsia="Google Sans Text" w:hAnsi="Calibri" w:cs="Calibri"/>
        </w:rPr>
        <w:t xml:space="preserve"> The analysis must move beyond simple prediction to estimate treatment effects. This requires explicitly modeling the relationships between covariates, treatments, and outcomes to adjust for confounding variables. Advanced methods like Double Machine Learning (DML) have been developed specifically for estimating causal effects from high-dimensional observational data and have been shown to outperform traditional statistical approaches.</w:t>
      </w:r>
      <w:r w:rsidRPr="001B3460">
        <w:rPr>
          <w:rFonts w:ascii="Calibri" w:eastAsia="Google Sans Text" w:hAnsi="Calibri" w:cs="Calibri"/>
          <w:vertAlign w:val="superscript"/>
        </w:rPr>
        <w:t>30</w:t>
      </w:r>
    </w:p>
    <w:p w14:paraId="062EFA34"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u w:val="single"/>
        </w:rPr>
        <w:t>Without this foundation in causal thinking, any system labeled a "digital twin" is merely a sophisticated data aggregator and predictive model</w:t>
      </w:r>
      <w:r w:rsidRPr="001B3460">
        <w:rPr>
          <w:rFonts w:ascii="Calibri" w:eastAsia="Google Sans Text" w:hAnsi="Calibri" w:cs="Calibri"/>
        </w:rPr>
        <w:t>. It may be useful for risk stratification, but it cannot fulfill the core promise of simulating interventions to guide personalized treatment. The "Psychiatric Digital Twin" remains a misnomer for these current correlational approaches. The central challenge for the field is not simply to improve predictive accuracy, but to build models with causal validity, transforming them from passive predictors into active tools for clinical reasoning.</w:t>
      </w:r>
    </w:p>
    <w:p w14:paraId="5341607A"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55B6FB2C" w14:textId="7C16F136" w:rsidR="00BA42C7" w:rsidRPr="001B3460" w:rsidRDefault="00000000" w:rsidP="001B3460">
      <w:pPr>
        <w:pStyle w:val="Heading2"/>
        <w:spacing w:before="0" w:after="120"/>
        <w:rPr>
          <w:rFonts w:ascii="Calibri" w:eastAsia="Google Sans" w:hAnsi="Calibri" w:cs="Calibri"/>
          <w:sz w:val="22"/>
          <w:szCs w:val="22"/>
        </w:rPr>
      </w:pPr>
      <w:r w:rsidRPr="001B3460">
        <w:rPr>
          <w:rFonts w:ascii="Calibri" w:eastAsia="Google Sans" w:hAnsi="Calibri" w:cs="Calibri"/>
          <w:sz w:val="22"/>
          <w:szCs w:val="22"/>
        </w:rPr>
        <w:t>II. The Encoder-Retrieval Paradigm: High-Dimensional Representations of Patient Trajectories</w:t>
      </w:r>
    </w:p>
    <w:p w14:paraId="67CE9907"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 Encoder-Retrieval paradigm represents a powerful and highly specialized approach to modeling patient data from EHRs. This methodology leverages the architecture of transformer-based models, originally developed for Natural Language Processing (NLP), to learn deep, contextualized representations of a patient's clinical history. This section details the technical underpinnings of this approach, traces its optimization trajectory, and provides a critical analysis of its strengths and fundamental vulnerabilities.</w:t>
      </w:r>
    </w:p>
    <w:p w14:paraId="7BD19DC5"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65C3A2B5" w14:textId="0D7DB0E3" w:rsidR="00BA42C7" w:rsidRPr="001B3460" w:rsidRDefault="00000000" w:rsidP="005622BE">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2.1. From Raw Codes to Patient Embeddings: The Transformer Architecture</w:t>
      </w:r>
    </w:p>
    <w:p w14:paraId="1D45E175"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At its core, the Encoder-Retrieval paradigm reconceptualizes a patient's longitudinal health record as a sequence, analogous to a sentence in natural language.</w:t>
      </w:r>
      <w:r w:rsidRPr="001B3460">
        <w:rPr>
          <w:rFonts w:ascii="Calibri" w:eastAsia="Google Sans Text" w:hAnsi="Calibri" w:cs="Calibri"/>
          <w:vertAlign w:val="superscript"/>
        </w:rPr>
        <w:t>31</w:t>
      </w:r>
      <w:r w:rsidRPr="001B3460">
        <w:rPr>
          <w:rFonts w:ascii="Calibri" w:eastAsia="Google Sans Text" w:hAnsi="Calibri" w:cs="Calibri"/>
        </w:rPr>
        <w:t xml:space="preserve"> Each clinical event—such as a diagnosis code (e.g., ICD-10), a medication prescription, or a lab test—is treated as a "word" or "token" in this sequence. The goal is to learn the complex, non-linear relationships and temporal dependencies between these events over time.</w:t>
      </w:r>
    </w:p>
    <w:p w14:paraId="1CE707F8"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Transformer-based models, particularly those based on the Bidirectional Encoder Representations from Transformers (BERT) architecture, have become the dominant tool for this task.</w:t>
      </w:r>
      <w:r w:rsidRPr="001B3460">
        <w:rPr>
          <w:rFonts w:ascii="Calibri" w:eastAsia="Google Sans Text" w:hAnsi="Calibri" w:cs="Calibri"/>
          <w:vertAlign w:val="superscript"/>
        </w:rPr>
        <w:t>34</w:t>
      </w:r>
      <w:r w:rsidRPr="001B3460">
        <w:rPr>
          <w:rFonts w:ascii="Calibri" w:eastAsia="Google Sans Text" w:hAnsi="Calibri" w:cs="Calibri"/>
        </w:rPr>
        <w:t xml:space="preserve"> Seminal models in this domain, such as BEHRT and Med-BERT, adapted the core principles of BERT for structured EHR data.</w:t>
      </w:r>
      <w:r w:rsidRPr="001B3460">
        <w:rPr>
          <w:rFonts w:ascii="Calibri" w:eastAsia="Google Sans Text" w:hAnsi="Calibri" w:cs="Calibri"/>
          <w:vertAlign w:val="superscript"/>
        </w:rPr>
        <w:t>34</w:t>
      </w:r>
      <w:r w:rsidRPr="001B3460">
        <w:rPr>
          <w:rFonts w:ascii="Calibri" w:eastAsia="Google Sans Text" w:hAnsi="Calibri" w:cs="Calibri"/>
        </w:rPr>
        <w:t xml:space="preserve"> The training process typically involves a self-supervised objective, most commonly Masked Language Modeling (MLM). In this setup, a certain percentage of the clinical "tokens" in a patient's sequence are randomly masked (i.e., hidden), and the model is trained to predict the identity of these masked tokens based on the surrounding context (both past and future events).</w:t>
      </w:r>
      <w:r w:rsidRPr="001B3460">
        <w:rPr>
          <w:rFonts w:ascii="Calibri" w:eastAsia="Google Sans Text" w:hAnsi="Calibri" w:cs="Calibri"/>
          <w:vertAlign w:val="superscript"/>
        </w:rPr>
        <w:t>31</w:t>
      </w:r>
    </w:p>
    <w:p w14:paraId="66296CFD"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 xml:space="preserve">Through this process, the model learns a rich, contextualized understanding of the "grammar" of clinical care. For </w:t>
      </w:r>
      <w:r w:rsidRPr="001B3460">
        <w:rPr>
          <w:rFonts w:ascii="Calibri" w:eastAsia="Google Sans Text" w:hAnsi="Calibri" w:cs="Calibri"/>
        </w:rPr>
        <w:lastRenderedPageBreak/>
        <w:t xml:space="preserve">example, it might learn that a diagnosis of hypertension is often followed by a prescription for an antihypertensive medication, or that certain combinations of symptoms are highly predictive of a future diagnosis of depression. The final output of this process is a </w:t>
      </w:r>
      <w:r w:rsidRPr="001B3460">
        <w:rPr>
          <w:rFonts w:ascii="Calibri" w:eastAsia="Google Sans Text" w:hAnsi="Calibri" w:cs="Calibri"/>
          <w:b/>
        </w:rPr>
        <w:t>patient embedding</w:t>
      </w:r>
      <w:r w:rsidRPr="001B3460">
        <w:rPr>
          <w:rFonts w:ascii="Calibri" w:eastAsia="Google Sans Text" w:hAnsi="Calibri" w:cs="Calibri"/>
        </w:rPr>
        <w:t>: a single, dense vector of numbers that serves as a high-dimensional mathematical summary of the patient's entire clinical history up to a specific point in time.</w:t>
      </w:r>
      <w:r w:rsidRPr="001B3460">
        <w:rPr>
          <w:rFonts w:ascii="Calibri" w:eastAsia="Google Sans Text" w:hAnsi="Calibri" w:cs="Calibri"/>
          <w:vertAlign w:val="superscript"/>
        </w:rPr>
        <w:t>35</w:t>
      </w:r>
      <w:r w:rsidRPr="001B3460">
        <w:rPr>
          <w:rFonts w:ascii="Calibri" w:eastAsia="Google Sans Text" w:hAnsi="Calibri" w:cs="Calibri"/>
        </w:rPr>
        <w:t xml:space="preserve"> This embedding encapsulates the learned patterns and can be used as input for various downstream machine learning tasks, such as predicting the risk of future disease, treatment response, or hospital readmission.</w:t>
      </w:r>
      <w:r w:rsidRPr="001B3460">
        <w:rPr>
          <w:rFonts w:ascii="Calibri" w:eastAsia="Google Sans Text" w:hAnsi="Calibri" w:cs="Calibri"/>
          <w:vertAlign w:val="superscript"/>
        </w:rPr>
        <w:t>6</w:t>
      </w:r>
    </w:p>
    <w:p w14:paraId="5E471314" w14:textId="77777777" w:rsidR="00BA42C7" w:rsidRPr="001B3460" w:rsidRDefault="00BA42C7" w:rsidP="001B3460">
      <w:pPr>
        <w:pBdr>
          <w:top w:val="nil"/>
          <w:left w:val="nil"/>
          <w:bottom w:val="nil"/>
          <w:right w:val="nil"/>
          <w:between w:val="nil"/>
        </w:pBdr>
        <w:spacing w:after="120"/>
        <w:rPr>
          <w:rFonts w:ascii="Calibri" w:eastAsia="Google Sans Text" w:hAnsi="Calibri" w:cs="Calibri"/>
          <w:vertAlign w:val="superscript"/>
        </w:rPr>
      </w:pPr>
    </w:p>
    <w:p w14:paraId="799AD269" w14:textId="29F7B74D" w:rsidR="00BA42C7" w:rsidRPr="001B3460" w:rsidRDefault="00000000" w:rsidP="005622BE">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2.2. The Trajectory of Optimization: From BEHRT to DR.EHR</w:t>
      </w:r>
    </w:p>
    <w:p w14:paraId="43870EAA"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Since the initial proof-of-concept models, the field has seen a rapid evolution driven by incremental optimization across several key design choices, significantly improving model performance and generalizability.</w:t>
      </w:r>
      <w:r w:rsidRPr="001B3460">
        <w:rPr>
          <w:rFonts w:ascii="Calibri" w:eastAsia="Google Sans Text" w:hAnsi="Calibri" w:cs="Calibri"/>
          <w:vertAlign w:val="superscript"/>
        </w:rPr>
        <w:t>34</w:t>
      </w:r>
      <w:r w:rsidRPr="001B3460">
        <w:rPr>
          <w:rFonts w:ascii="Calibri" w:eastAsia="Google Sans Text" w:hAnsi="Calibri" w:cs="Calibri"/>
        </w:rPr>
        <w:t xml:space="preserve"> This trajectory highlights a systematic effort to better adapt the generic transformer architecture to the unique characteristics of clinical data.</w:t>
      </w:r>
    </w:p>
    <w:p w14:paraId="2F4A67CD" w14:textId="77777777" w:rsidR="00BA42C7" w:rsidRPr="001B3460" w:rsidRDefault="00000000" w:rsidP="001B3460">
      <w:pPr>
        <w:numPr>
          <w:ilvl w:val="0"/>
          <w:numId w:val="6"/>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Data Representation:</w:t>
      </w:r>
      <w:r w:rsidRPr="001B3460">
        <w:rPr>
          <w:rFonts w:ascii="Calibri" w:eastAsia="Google Sans Text" w:hAnsi="Calibri" w:cs="Calibri"/>
        </w:rPr>
        <w:t xml:space="preserve"> The quality and richness of the input data are paramount. Early models focused primarily on diagnosis codes. Subsequent research demonstrated that performance could be significantly enhanced by incorporating a wider range of data types. Including </w:t>
      </w:r>
      <w:r w:rsidRPr="001B3460">
        <w:rPr>
          <w:rFonts w:ascii="Calibri" w:eastAsia="Google Sans Text" w:hAnsi="Calibri" w:cs="Calibri"/>
          <w:b/>
        </w:rPr>
        <w:t>medication codes</w:t>
      </w:r>
      <w:r w:rsidRPr="001B3460">
        <w:rPr>
          <w:rFonts w:ascii="Calibri" w:eastAsia="Google Sans Text" w:hAnsi="Calibri" w:cs="Calibri"/>
        </w:rPr>
        <w:t xml:space="preserve"> and </w:t>
      </w:r>
      <w:r w:rsidRPr="001B3460">
        <w:rPr>
          <w:rFonts w:ascii="Calibri" w:eastAsia="Google Sans Text" w:hAnsi="Calibri" w:cs="Calibri"/>
          <w:b/>
        </w:rPr>
        <w:t>timestamps</w:t>
      </w:r>
      <w:r w:rsidRPr="001B3460">
        <w:rPr>
          <w:rFonts w:ascii="Calibri" w:eastAsia="Google Sans Text" w:hAnsi="Calibri" w:cs="Calibri"/>
        </w:rPr>
        <w:t xml:space="preserve"> for each clinical event were found to be particularly impactful, providing a more granular and temporally precise view of the patient's journey.</w:t>
      </w:r>
      <w:r w:rsidRPr="001B3460">
        <w:rPr>
          <w:rFonts w:ascii="Calibri" w:eastAsia="Google Sans Text" w:hAnsi="Calibri" w:cs="Calibri"/>
          <w:vertAlign w:val="superscript"/>
        </w:rPr>
        <w:t>34</w:t>
      </w:r>
      <w:r w:rsidRPr="001B3460">
        <w:rPr>
          <w:rFonts w:ascii="Calibri" w:eastAsia="Google Sans Text" w:hAnsi="Calibri" w:cs="Calibri"/>
        </w:rPr>
        <w:t xml:space="preserve"> Using full-depth, fine-grained diagnosis codes, rather than higher-level aggregated codes, can also preserve critical information, especially for rare conditions.</w:t>
      </w:r>
      <w:r w:rsidRPr="001B3460">
        <w:rPr>
          <w:rFonts w:ascii="Calibri" w:eastAsia="Google Sans Text" w:hAnsi="Calibri" w:cs="Calibri"/>
          <w:vertAlign w:val="superscript"/>
        </w:rPr>
        <w:t>34</w:t>
      </w:r>
    </w:p>
    <w:p w14:paraId="547CE75B" w14:textId="707621AE" w:rsidR="00BA42C7" w:rsidRPr="001B3460" w:rsidRDefault="00000000" w:rsidP="001B3460">
      <w:pPr>
        <w:numPr>
          <w:ilvl w:val="0"/>
          <w:numId w:val="6"/>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Model Architecture:</w:t>
      </w:r>
      <w:r w:rsidRPr="001B3460">
        <w:rPr>
          <w:rFonts w:ascii="Calibri" w:eastAsia="Google Sans Text" w:hAnsi="Calibri" w:cs="Calibri"/>
        </w:rPr>
        <w:t xml:space="preserve"> Architectural refinements have also yielded performance gains. For instance, replacing standard positional embeddings with more sophisticated temporal encoding methods like </w:t>
      </w:r>
      <w:r w:rsidRPr="001B3460">
        <w:rPr>
          <w:rFonts w:ascii="Calibri" w:eastAsia="Google Sans Text" w:hAnsi="Calibri" w:cs="Calibri"/>
          <w:b/>
        </w:rPr>
        <w:t>Time2Vec</w:t>
      </w:r>
      <w:r w:rsidRPr="001B3460">
        <w:rPr>
          <w:rFonts w:ascii="Calibri" w:eastAsia="Google Sans Text" w:hAnsi="Calibri" w:cs="Calibri"/>
        </w:rPr>
        <w:t xml:space="preserve"> allows the model to better capture the continuous nature of time and the relationships between different ages.</w:t>
      </w:r>
      <w:r w:rsidRPr="001B3460">
        <w:rPr>
          <w:rFonts w:ascii="Calibri" w:eastAsia="Google Sans Text" w:hAnsi="Calibri" w:cs="Calibri"/>
          <w:vertAlign w:val="superscript"/>
        </w:rPr>
        <w:t>34</w:t>
      </w:r>
      <w:r w:rsidRPr="001B3460">
        <w:rPr>
          <w:rFonts w:ascii="Calibri" w:eastAsia="Google Sans Text" w:hAnsi="Calibri" w:cs="Calibri"/>
        </w:rPr>
        <w:t xml:space="preserve"> Incorporating recent advancements from the broader NLP field, such as the</w:t>
      </w:r>
      <w:r w:rsidR="005622BE">
        <w:rPr>
          <w:rFonts w:ascii="Calibri" w:hAnsi="Calibri" w:cs="Calibri"/>
          <w:color w:val="000000"/>
        </w:rPr>
        <w:t xml:space="preserve"> </w:t>
      </w:r>
      <w:proofErr w:type="spellStart"/>
      <w:r w:rsidRPr="001B3460">
        <w:rPr>
          <w:rFonts w:ascii="Calibri" w:eastAsia="Google Sans Text" w:hAnsi="Calibri" w:cs="Calibri"/>
          <w:b/>
        </w:rPr>
        <w:t>SwiGLU</w:t>
      </w:r>
      <w:proofErr w:type="spellEnd"/>
      <w:r w:rsidRPr="001B3460">
        <w:rPr>
          <w:rFonts w:ascii="Calibri" w:eastAsia="Google Sans Text" w:hAnsi="Calibri" w:cs="Calibri"/>
          <w:b/>
        </w:rPr>
        <w:t xml:space="preserve"> activation function</w:t>
      </w:r>
      <w:r w:rsidRPr="001B3460">
        <w:rPr>
          <w:rFonts w:ascii="Calibri" w:eastAsia="Google Sans Text" w:hAnsi="Calibri" w:cs="Calibri"/>
        </w:rPr>
        <w:t xml:space="preserve"> and </w:t>
      </w:r>
      <w:r w:rsidRPr="001B3460">
        <w:rPr>
          <w:rFonts w:ascii="Calibri" w:eastAsia="Google Sans Text" w:hAnsi="Calibri" w:cs="Calibri"/>
          <w:b/>
        </w:rPr>
        <w:t>Rotary Position Embeddings (</w:t>
      </w:r>
      <w:proofErr w:type="spellStart"/>
      <w:r w:rsidRPr="001B3460">
        <w:rPr>
          <w:rFonts w:ascii="Calibri" w:eastAsia="Google Sans Text" w:hAnsi="Calibri" w:cs="Calibri"/>
          <w:b/>
        </w:rPr>
        <w:t>RoPE</w:t>
      </w:r>
      <w:proofErr w:type="spellEnd"/>
      <w:r w:rsidRPr="001B3460">
        <w:rPr>
          <w:rFonts w:ascii="Calibri" w:eastAsia="Google Sans Text" w:hAnsi="Calibri" w:cs="Calibri"/>
          <w:b/>
        </w:rPr>
        <w:t>)</w:t>
      </w:r>
      <w:r w:rsidRPr="001B3460">
        <w:rPr>
          <w:rFonts w:ascii="Calibri" w:eastAsia="Google Sans Text" w:hAnsi="Calibri" w:cs="Calibri"/>
        </w:rPr>
        <w:t>, has further improved model efficacy.</w:t>
      </w:r>
      <w:r w:rsidRPr="001B3460">
        <w:rPr>
          <w:rFonts w:ascii="Calibri" w:eastAsia="Google Sans Text" w:hAnsi="Calibri" w:cs="Calibri"/>
          <w:vertAlign w:val="superscript"/>
        </w:rPr>
        <w:t>34</w:t>
      </w:r>
    </w:p>
    <w:p w14:paraId="56C47DA0" w14:textId="6582D82B" w:rsidR="00BA42C7" w:rsidRPr="001B3460" w:rsidRDefault="00000000" w:rsidP="001B3460">
      <w:pPr>
        <w:numPr>
          <w:ilvl w:val="0"/>
          <w:numId w:val="6"/>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Pre-training and Fine-tuning:</w:t>
      </w:r>
      <w:r w:rsidRPr="001B3460">
        <w:rPr>
          <w:rFonts w:ascii="Calibri" w:eastAsia="Google Sans Text" w:hAnsi="Calibri" w:cs="Calibri"/>
        </w:rPr>
        <w:t xml:space="preserve"> The importance of domain-specific knowledge has become increasingly clear. Models pre-trained on large, in-domain clinical corpora, such as the MIMIC-IV database, consistently outperform models trained on general text.</w:t>
      </w:r>
      <w:r w:rsidRPr="001B3460">
        <w:rPr>
          <w:rFonts w:ascii="Calibri" w:eastAsia="Google Sans Text" w:hAnsi="Calibri" w:cs="Calibri"/>
          <w:vertAlign w:val="superscript"/>
        </w:rPr>
        <w:t>5</w:t>
      </w:r>
      <w:r w:rsidRPr="001B3460">
        <w:rPr>
          <w:rFonts w:ascii="Calibri" w:eastAsia="Google Sans Text" w:hAnsi="Calibri" w:cs="Calibri"/>
        </w:rPr>
        <w:t xml:space="preserve"> For example,</w:t>
      </w:r>
      <w:r w:rsidR="005622BE">
        <w:rPr>
          <w:rFonts w:ascii="Calibri" w:hAnsi="Calibri" w:cs="Calibri"/>
          <w:color w:val="000000"/>
        </w:rPr>
        <w:t xml:space="preserve"> </w:t>
      </w:r>
      <w:proofErr w:type="spellStart"/>
      <w:r w:rsidRPr="001B3460">
        <w:rPr>
          <w:rFonts w:ascii="Calibri" w:eastAsia="Google Sans Text" w:hAnsi="Calibri" w:cs="Calibri"/>
          <w:b/>
        </w:rPr>
        <w:t>ClinicalBERT</w:t>
      </w:r>
      <w:proofErr w:type="spellEnd"/>
      <w:r w:rsidRPr="001B3460">
        <w:rPr>
          <w:rFonts w:ascii="Calibri" w:eastAsia="Google Sans Text" w:hAnsi="Calibri" w:cs="Calibri"/>
        </w:rPr>
        <w:t>, which is pre-trained on biomedical and clinical text, generally shows superior performance on clinical tasks compared to the original BERT model.</w:t>
      </w:r>
      <w:r w:rsidRPr="001B3460">
        <w:rPr>
          <w:rFonts w:ascii="Calibri" w:eastAsia="Google Sans Text" w:hAnsi="Calibri" w:cs="Calibri"/>
          <w:vertAlign w:val="superscript"/>
        </w:rPr>
        <w:t>29</w:t>
      </w:r>
      <w:r w:rsidRPr="001B3460">
        <w:rPr>
          <w:rFonts w:ascii="Calibri" w:eastAsia="Google Sans Text" w:hAnsi="Calibri" w:cs="Calibri"/>
        </w:rPr>
        <w:t xml:space="preserve"> Furthermore, models pre-trained on in-domain data tend to learn relevant features more quickly during the fine-tuning stage for a specific task.</w:t>
      </w:r>
      <w:r w:rsidRPr="001B3460">
        <w:rPr>
          <w:rFonts w:ascii="Calibri" w:eastAsia="Google Sans Text" w:hAnsi="Calibri" w:cs="Calibri"/>
          <w:vertAlign w:val="superscript"/>
        </w:rPr>
        <w:t>18</w:t>
      </w:r>
    </w:p>
    <w:p w14:paraId="4B144EB9" w14:textId="77777777" w:rsidR="00BA42C7" w:rsidRPr="001B3460" w:rsidRDefault="00000000" w:rsidP="001B3460">
      <w:pPr>
        <w:numPr>
          <w:ilvl w:val="0"/>
          <w:numId w:val="6"/>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State-of-the-Art Retrieval Models:</w:t>
      </w:r>
      <w:r w:rsidRPr="001B3460">
        <w:rPr>
          <w:rFonts w:ascii="Calibri" w:eastAsia="Google Sans Text" w:hAnsi="Calibri" w:cs="Calibri"/>
        </w:rPr>
        <w:t xml:space="preserve"> The development of models specifically designed for EHR retrieval tasks marks a significant step forward. The </w:t>
      </w:r>
      <w:r w:rsidRPr="001B3460">
        <w:rPr>
          <w:rFonts w:ascii="Calibri" w:eastAsia="Google Sans Text" w:hAnsi="Calibri" w:cs="Calibri"/>
          <w:b/>
        </w:rPr>
        <w:t>DR.EHR</w:t>
      </w:r>
      <w:r w:rsidRPr="001B3460">
        <w:rPr>
          <w:rFonts w:ascii="Calibri" w:eastAsia="Google Sans Text" w:hAnsi="Calibri" w:cs="Calibri"/>
        </w:rPr>
        <w:t xml:space="preserve"> model, for example, employs a sophisticated two-stage training pipeline. In the first stage, it injects medical knowledge from a biomedical Knowledge Graph. In the second stage, it uses an LLM to generate a massive and diverse set of synthetic query-document pairs for contrastive learning.</w:t>
      </w:r>
      <w:r w:rsidRPr="001B3460">
        <w:rPr>
          <w:rFonts w:ascii="Calibri" w:eastAsia="Google Sans Text" w:hAnsi="Calibri" w:cs="Calibri"/>
          <w:vertAlign w:val="superscript"/>
        </w:rPr>
        <w:t>5</w:t>
      </w:r>
      <w:r w:rsidRPr="001B3460">
        <w:rPr>
          <w:rFonts w:ascii="Calibri" w:eastAsia="Google Sans Text" w:hAnsi="Calibri" w:cs="Calibri"/>
        </w:rPr>
        <w:t xml:space="preserve"> This approach allows the model to develop a much deeper semantic understanding, resulting in state-of-the-art performance on EHR retrieval benchmarks. It demonstrates remarkable superiority in handling challenging semantic matches, such as understanding implications and abbreviations, where simple string matching would fail.</w:t>
      </w:r>
      <w:r w:rsidRPr="001B3460">
        <w:rPr>
          <w:rFonts w:ascii="Calibri" w:eastAsia="Google Sans Text" w:hAnsi="Calibri" w:cs="Calibri"/>
          <w:vertAlign w:val="superscript"/>
        </w:rPr>
        <w:t>5</w:t>
      </w:r>
    </w:p>
    <w:p w14:paraId="651CE2C0" w14:textId="77777777" w:rsidR="00BA42C7" w:rsidRPr="001B3460" w:rsidRDefault="00BA42C7" w:rsidP="001B3460">
      <w:pPr>
        <w:pBdr>
          <w:top w:val="nil"/>
          <w:left w:val="nil"/>
          <w:bottom w:val="nil"/>
          <w:right w:val="nil"/>
          <w:between w:val="nil"/>
        </w:pBdr>
        <w:spacing w:after="120"/>
        <w:rPr>
          <w:rFonts w:ascii="Calibri" w:eastAsia="Google Sans Text" w:hAnsi="Calibri" w:cs="Calibri"/>
          <w:vertAlign w:val="superscript"/>
        </w:rPr>
      </w:pPr>
    </w:p>
    <w:p w14:paraId="7E6EA47A" w14:textId="67ABDEE2" w:rsidR="00BA42C7" w:rsidRPr="001B3460" w:rsidRDefault="00000000" w:rsidP="005622BE">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2.3. Strengths: Capturing Temporal Dynamics and Structured Semantics</w:t>
      </w:r>
    </w:p>
    <w:p w14:paraId="75A8D7CD"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5622BE">
        <w:rPr>
          <w:rFonts w:ascii="Calibri" w:eastAsia="Google Sans Text" w:hAnsi="Calibri" w:cs="Calibri"/>
          <w:u w:val="single"/>
        </w:rPr>
        <w:t>The primary strength of the Encoder-Retrieval paradigm lies in its innate ability to automatically learn and represent complex, non-linear temporal dynamics from longitudinal data</w:t>
      </w:r>
      <w:r w:rsidRPr="001B3460">
        <w:rPr>
          <w:rFonts w:ascii="Calibri" w:eastAsia="Google Sans Text" w:hAnsi="Calibri" w:cs="Calibri"/>
        </w:rPr>
        <w:t>. Unlike traditional statistical models that require manual feature engineering, transformers can discover subtle, long-range dependencies within a patient's history that may not be apparent to a human clinician.</w:t>
      </w:r>
      <w:r w:rsidRPr="001B3460">
        <w:rPr>
          <w:rFonts w:ascii="Calibri" w:eastAsia="Google Sans Text" w:hAnsi="Calibri" w:cs="Calibri"/>
          <w:vertAlign w:val="superscript"/>
        </w:rPr>
        <w:t>6</w:t>
      </w:r>
      <w:r w:rsidRPr="001B3460">
        <w:rPr>
          <w:rFonts w:ascii="Calibri" w:eastAsia="Google Sans Text" w:hAnsi="Calibri" w:cs="Calibri"/>
        </w:rPr>
        <w:t xml:space="preserve"> This capability has led to state-of-the-art performance on a range of well-defined clinical prediction tasks. For example, a temporal deep learning model using a transformer architecture demonstrated significant improvements in predicting a future diagnosis of depression, achieving a higher area under the precision-recall curve (PRAUC) than previous baseline models.</w:t>
      </w:r>
      <w:r w:rsidRPr="001B3460">
        <w:rPr>
          <w:rFonts w:ascii="Calibri" w:eastAsia="Google Sans Text" w:hAnsi="Calibri" w:cs="Calibri"/>
          <w:vertAlign w:val="superscript"/>
        </w:rPr>
        <w:t>6</w:t>
      </w:r>
    </w:p>
    <w:p w14:paraId="696BBA7F"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Furthermore, this paradigm offers a degree of interpretability. The self-attention mechanism, which is the core component of the transformer, calculates weights that determine how much "attention" the model pays to each past event when making a prediction. These attention weights can be visualized, providing a quantitative measure of which </w:t>
      </w:r>
      <w:r w:rsidRPr="001B3460">
        <w:rPr>
          <w:rFonts w:ascii="Calibri" w:eastAsia="Google Sans Text" w:hAnsi="Calibri" w:cs="Calibri"/>
        </w:rPr>
        <w:lastRenderedPageBreak/>
        <w:t>elements in the patient's history were most influential for a given outcome.</w:t>
      </w:r>
      <w:r w:rsidRPr="001B3460">
        <w:rPr>
          <w:rFonts w:ascii="Calibri" w:eastAsia="Google Sans Text" w:hAnsi="Calibri" w:cs="Calibri"/>
          <w:vertAlign w:val="superscript"/>
        </w:rPr>
        <w:t>6</w:t>
      </w:r>
      <w:r w:rsidRPr="001B3460">
        <w:rPr>
          <w:rFonts w:ascii="Calibri" w:eastAsia="Google Sans Text" w:hAnsi="Calibri" w:cs="Calibri"/>
        </w:rPr>
        <w:t xml:space="preserve"> This allows for a limited but valuable glimpse into the model's "reasoning," which can help build clinical trust and facilitate error analysis.</w:t>
      </w:r>
    </w:p>
    <w:p w14:paraId="64DE910C"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505BABBD" w14:textId="47926835" w:rsidR="00BA42C7" w:rsidRPr="001B3460" w:rsidRDefault="00000000" w:rsidP="005622BE">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2.4. Critical Vulnerability: The "Cracked Foundation" of Structured Data</w:t>
      </w:r>
    </w:p>
    <w:p w14:paraId="67D85E27"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Despite its sophistication and predictive power, the Encoder-Retrieval paradigm is built upon a fundamentally weak foundation: the quality of the structured EHR data itself. </w:t>
      </w:r>
      <w:r w:rsidRPr="005622BE">
        <w:rPr>
          <w:rFonts w:ascii="Calibri" w:eastAsia="Google Sans Text" w:hAnsi="Calibri" w:cs="Calibri"/>
          <w:u w:val="single"/>
        </w:rPr>
        <w:t>The performance of these highly optimized models is entirely contingent on the accuracy, completeness, and clinical relevance of the input codes</w:t>
      </w:r>
      <w:r w:rsidRPr="001B3460">
        <w:rPr>
          <w:rFonts w:ascii="Calibri" w:eastAsia="Google Sans Text" w:hAnsi="Calibri" w:cs="Calibri"/>
        </w:rPr>
        <w:t>. For a condition like depression, this is a critical vulnerability.</w:t>
      </w:r>
    </w:p>
    <w:p w14:paraId="72A0FEF8"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As established, EHR documentation for depression is often inadequate. Clinicians may not use specific ICD codes for a new diagnosis, and much of the critical information regarding symptom severity, functional impairment, treatment adherence, and response to therapy is not captured in structured fields but is instead buried within free-text clinical notes.</w:t>
      </w:r>
      <w:r w:rsidRPr="001B3460">
        <w:rPr>
          <w:rFonts w:ascii="Calibri" w:eastAsia="Google Sans Text" w:hAnsi="Calibri" w:cs="Calibri"/>
          <w:vertAlign w:val="superscript"/>
        </w:rPr>
        <w:t>7</w:t>
      </w:r>
      <w:r w:rsidRPr="001B3460">
        <w:rPr>
          <w:rFonts w:ascii="Calibri" w:eastAsia="Google Sans Text" w:hAnsi="Calibri" w:cs="Calibri"/>
        </w:rPr>
        <w:t xml:space="preserve"> A large-scale analysis of a Dutch EHR database quantitatively confirmed this gap, demonstrating that unstructured data provides a wealth of important additional clinical information that is simply not present in the structured data.</w:t>
      </w:r>
      <w:r w:rsidRPr="001B3460">
        <w:rPr>
          <w:rFonts w:ascii="Calibri" w:eastAsia="Google Sans Text" w:hAnsi="Calibri" w:cs="Calibri"/>
          <w:vertAlign w:val="superscript"/>
        </w:rPr>
        <w:t>8</w:t>
      </w:r>
    </w:p>
    <w:p w14:paraId="25625327"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This creates a severe "garbage-in, garbage-out" problem. The encoder model may learn powerful and statistically significant relationships, but these are relationships between billing codes and administrative data, not necessarily between the patient's true underlying clinical state and their outcomes. The model's sophisticated architecture is thus applied to a crude and incomplete proxy of the patient's reality.</w:t>
      </w:r>
    </w:p>
    <w:p w14:paraId="481CB7BD"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This leads to a situation where the model may be overfitting to system-level artifacts rather than patient-level biology. </w:t>
      </w:r>
      <w:r w:rsidRPr="005622BE">
        <w:rPr>
          <w:rFonts w:ascii="Calibri" w:eastAsia="Google Sans Text" w:hAnsi="Calibri" w:cs="Calibri"/>
          <w:u w:val="single"/>
        </w:rPr>
        <w:t>The sequence of codes in an EHR is not a pure signal of a patient's disease process; it is a signal that is heavily filtered and shaped by institutional factors, including billing requirements, local coding practices, clinician workflows, and insurance policies.</w:t>
      </w:r>
      <w:r w:rsidRPr="001B3460">
        <w:rPr>
          <w:rFonts w:ascii="Calibri" w:eastAsia="Google Sans Text" w:hAnsi="Calibri" w:cs="Calibri"/>
          <w:vertAlign w:val="superscript"/>
        </w:rPr>
        <w:t>7</w:t>
      </w:r>
      <w:r w:rsidRPr="001B3460">
        <w:rPr>
          <w:rFonts w:ascii="Calibri" w:eastAsia="Google Sans Text" w:hAnsi="Calibri" w:cs="Calibri"/>
        </w:rPr>
        <w:t xml:space="preserve"> </w:t>
      </w:r>
      <w:r w:rsidRPr="005622BE">
        <w:rPr>
          <w:rFonts w:ascii="Calibri" w:eastAsia="Google Sans Text" w:hAnsi="Calibri" w:cs="Calibri"/>
          <w:u w:val="single"/>
        </w:rPr>
        <w:t>A powerful optimization algorithm, when trained on this data, will inevitably learn these system-level correlations because they are predictive within that specific dataset</w:t>
      </w:r>
      <w:r w:rsidRPr="001B3460">
        <w:rPr>
          <w:rFonts w:ascii="Calibri" w:eastAsia="Google Sans Text" w:hAnsi="Calibri" w:cs="Calibri"/>
        </w:rPr>
        <w:t>. For instance, a model might learn a strong association between a particular lab test and a positive treatment outcome, not because the test has a biological link to the treatment's mechanism, but because that test is only ordered at a specialized clinic within the hospital system where patients receive a higher standard of care.</w:t>
      </w:r>
    </w:p>
    <w:p w14:paraId="710FC1FD" w14:textId="6698E71E" w:rsidR="00BA42C7" w:rsidRPr="005622BE"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This phenomenon results in models that can be highly accurate on data from the institution where they were trained but fail to generalize to other healthcare systems with different administrative practices.</w:t>
      </w:r>
      <w:r w:rsidRPr="001B3460">
        <w:rPr>
          <w:rFonts w:ascii="Calibri" w:eastAsia="Google Sans Text" w:hAnsi="Calibri" w:cs="Calibri"/>
          <w:vertAlign w:val="superscript"/>
        </w:rPr>
        <w:t>9</w:t>
      </w:r>
      <w:r w:rsidRPr="001B3460">
        <w:rPr>
          <w:rFonts w:ascii="Calibri" w:eastAsia="Google Sans Text" w:hAnsi="Calibri" w:cs="Calibri"/>
        </w:rPr>
        <w:t xml:space="preserve"> </w:t>
      </w:r>
      <w:r w:rsidRPr="005622BE">
        <w:rPr>
          <w:rFonts w:ascii="Calibri" w:eastAsia="Google Sans Text" w:hAnsi="Calibri" w:cs="Calibri"/>
          <w:u w:val="single"/>
        </w:rPr>
        <w:t>The model has learned a "shortcut" based on a confounding variable (the hospital's operational patterns) rather than the causal pathway of the disease</w:t>
      </w:r>
      <w:r w:rsidRPr="001B3460">
        <w:rPr>
          <w:rFonts w:ascii="Calibri" w:eastAsia="Google Sans Text" w:hAnsi="Calibri" w:cs="Calibri"/>
        </w:rPr>
        <w:t>. Consequently, the Encoder-Retrieval paradigm, in its current implementation, risks building highly sophisticated models of</w:t>
      </w:r>
      <w:r w:rsidR="005622BE">
        <w:rPr>
          <w:rFonts w:ascii="Calibri" w:eastAsia="Google Sans Text" w:hAnsi="Calibri" w:cs="Calibri"/>
        </w:rPr>
        <w:t xml:space="preserve"> </w:t>
      </w:r>
      <w:r w:rsidRPr="001B3460">
        <w:rPr>
          <w:rFonts w:ascii="Calibri" w:eastAsia="Google Sans Text" w:hAnsi="Calibri" w:cs="Calibri"/>
          <w:i/>
        </w:rPr>
        <w:t>healthcare system behavior</w:t>
      </w:r>
      <w:r w:rsidRPr="001B3460">
        <w:rPr>
          <w:rFonts w:ascii="Calibri" w:eastAsia="Google Sans Text" w:hAnsi="Calibri" w:cs="Calibri"/>
        </w:rPr>
        <w:t xml:space="preserve"> as much as it builds models of disease. This creates a brittle system whose accuracy may be an illusion of true clinical understanding, posing a significant and often hidden risk for clinical translation and decision support. This is a primary driver of the well-documented reproducibility and generalizability crisis in medical AI.</w:t>
      </w:r>
      <w:r w:rsidRPr="001B3460">
        <w:rPr>
          <w:rFonts w:ascii="Calibri" w:eastAsia="Google Sans Text" w:hAnsi="Calibri" w:cs="Calibri"/>
          <w:vertAlign w:val="superscript"/>
        </w:rPr>
        <w:t>9</w:t>
      </w:r>
    </w:p>
    <w:p w14:paraId="0491EE9D" w14:textId="77777777" w:rsidR="00BA42C7" w:rsidRPr="001B3460" w:rsidRDefault="00BA42C7" w:rsidP="001B3460">
      <w:pPr>
        <w:pBdr>
          <w:top w:val="nil"/>
          <w:left w:val="nil"/>
          <w:bottom w:val="nil"/>
          <w:right w:val="nil"/>
          <w:between w:val="nil"/>
        </w:pBdr>
        <w:spacing w:after="120"/>
        <w:rPr>
          <w:rFonts w:ascii="Calibri" w:eastAsia="Google Sans Text" w:hAnsi="Calibri" w:cs="Calibri"/>
          <w:vertAlign w:val="superscript"/>
        </w:rPr>
      </w:pPr>
    </w:p>
    <w:p w14:paraId="3F6E4966" w14:textId="12E74517" w:rsidR="00BA42C7" w:rsidRPr="001B3460" w:rsidRDefault="00000000" w:rsidP="005622BE">
      <w:pPr>
        <w:pStyle w:val="Heading2"/>
        <w:spacing w:before="0" w:after="120"/>
        <w:rPr>
          <w:rFonts w:ascii="Calibri" w:eastAsia="Google Sans" w:hAnsi="Calibri" w:cs="Calibri"/>
          <w:sz w:val="22"/>
          <w:szCs w:val="22"/>
        </w:rPr>
      </w:pPr>
      <w:r w:rsidRPr="001B3460">
        <w:rPr>
          <w:rFonts w:ascii="Calibri" w:eastAsia="Google Sans" w:hAnsi="Calibri" w:cs="Calibri"/>
          <w:sz w:val="22"/>
          <w:szCs w:val="22"/>
        </w:rPr>
        <w:t>III. The Direct LLM Paradigm: Generative Inference and Interactive Querying</w:t>
      </w:r>
    </w:p>
    <w:p w14:paraId="05029504"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In response to the inherent limitations of structured data, a different paradigm has emerged: the direct application of general-purpose Large Language Models (LLMs) to EHR data. This approach leverages the remarkable ability of models like GPT-4 to understand and generate human-like text, promising a more flexible and holistic way to interact with the full spectrum of clinical information. This section evaluates this paradigm, contrasting its immense potential with the severe risks posed by its current lack of factual reliability.</w:t>
      </w:r>
    </w:p>
    <w:p w14:paraId="4F1B6E74"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610577F9" w14:textId="4D523901" w:rsidR="00BA42C7" w:rsidRPr="001B3460" w:rsidRDefault="00000000" w:rsidP="005622BE">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3.1. The Promise: Bypassing Structured Data Limitations</w:t>
      </w:r>
    </w:p>
    <w:p w14:paraId="29D882AB"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 xml:space="preserve">The primary allure of the Direct LLM paradigm is its potential to bypass the "cracked foundation" of structured data that constrains encoder models. Because LLMs are pre-trained on vast corpora of text, they possess a powerful innate ability to process unstructured data directly. This opens the door to tapping into the rich, nuanced information contained within clinical narratives, patient-provider messages, discharge summaries, and other textual documents that constitute </w:t>
      </w:r>
      <w:r w:rsidRPr="001B3460">
        <w:rPr>
          <w:rFonts w:ascii="Calibri" w:eastAsia="Google Sans Text" w:hAnsi="Calibri" w:cs="Calibri"/>
        </w:rPr>
        <w:lastRenderedPageBreak/>
        <w:t>the majority of data in an EHR.</w:t>
      </w:r>
      <w:r w:rsidRPr="001B3460">
        <w:rPr>
          <w:rFonts w:ascii="Calibri" w:eastAsia="Google Sans Text" w:hAnsi="Calibri" w:cs="Calibri"/>
          <w:vertAlign w:val="superscript"/>
        </w:rPr>
        <w:t>10</w:t>
      </w:r>
    </w:p>
    <w:p w14:paraId="7219B395"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This capability enables a broad range of potential applications in mental health care, far beyond the narrow prediction tasks typical of encoder models. LLMs are being explored for:</w:t>
      </w:r>
    </w:p>
    <w:p w14:paraId="5F0B56AF" w14:textId="77777777" w:rsidR="00BA42C7" w:rsidRPr="001B3460" w:rsidRDefault="00000000" w:rsidP="001B3460">
      <w:pPr>
        <w:numPr>
          <w:ilvl w:val="0"/>
          <w:numId w:val="7"/>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Diagnostic Assistance:</w:t>
      </w:r>
      <w:r w:rsidRPr="001B3460">
        <w:rPr>
          <w:rFonts w:ascii="Calibri" w:eastAsia="Google Sans Text" w:hAnsi="Calibri" w:cs="Calibri"/>
        </w:rPr>
        <w:t xml:space="preserve"> Analyzing patient messages or clinical notes to identify signs of depression or other mental health concerns.</w:t>
      </w:r>
      <w:r w:rsidRPr="001B3460">
        <w:rPr>
          <w:rFonts w:ascii="Calibri" w:eastAsia="Google Sans Text" w:hAnsi="Calibri" w:cs="Calibri"/>
          <w:vertAlign w:val="superscript"/>
        </w:rPr>
        <w:t>10</w:t>
      </w:r>
    </w:p>
    <w:p w14:paraId="510965A5" w14:textId="77777777" w:rsidR="00BA42C7" w:rsidRPr="001B3460" w:rsidRDefault="00000000" w:rsidP="001B3460">
      <w:pPr>
        <w:numPr>
          <w:ilvl w:val="0"/>
          <w:numId w:val="7"/>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Information Extraction and Summarization:</w:t>
      </w:r>
      <w:r w:rsidRPr="001B3460">
        <w:rPr>
          <w:rFonts w:ascii="Calibri" w:eastAsia="Google Sans Text" w:hAnsi="Calibri" w:cs="Calibri"/>
        </w:rPr>
        <w:t xml:space="preserve"> Automatically extracting structured information from unstructured reports or generating concise summaries of long patient histories, potentially reducing administrative burden on clinicians.</w:t>
      </w:r>
      <w:r w:rsidRPr="001B3460">
        <w:rPr>
          <w:rFonts w:ascii="Calibri" w:eastAsia="Google Sans Text" w:hAnsi="Calibri" w:cs="Calibri"/>
          <w:vertAlign w:val="superscript"/>
        </w:rPr>
        <w:t>38</w:t>
      </w:r>
    </w:p>
    <w:p w14:paraId="708D3E42" w14:textId="77777777" w:rsidR="00BA42C7" w:rsidRPr="001B3460" w:rsidRDefault="00000000" w:rsidP="001B3460">
      <w:pPr>
        <w:numPr>
          <w:ilvl w:val="0"/>
          <w:numId w:val="7"/>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Therapeutic and Support Applications:</w:t>
      </w:r>
      <w:r w:rsidRPr="001B3460">
        <w:rPr>
          <w:rFonts w:ascii="Calibri" w:eastAsia="Google Sans Text" w:hAnsi="Calibri" w:cs="Calibri"/>
        </w:rPr>
        <w:t xml:space="preserve"> Powering chatbots that can provide psychoeducation, emotional support, or even forms of automated psychotherapy.</w:t>
      </w:r>
      <w:r w:rsidRPr="001B3460">
        <w:rPr>
          <w:rFonts w:ascii="Calibri" w:eastAsia="Google Sans Text" w:hAnsi="Calibri" w:cs="Calibri"/>
          <w:vertAlign w:val="superscript"/>
        </w:rPr>
        <w:t>10</w:t>
      </w:r>
    </w:p>
    <w:p w14:paraId="759A6994" w14:textId="77777777" w:rsidR="00BA42C7" w:rsidRPr="001B3460" w:rsidRDefault="00000000" w:rsidP="001B3460">
      <w:pPr>
        <w:numPr>
          <w:ilvl w:val="0"/>
          <w:numId w:val="7"/>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Patient Engagement:</w:t>
      </w:r>
      <w:r w:rsidRPr="001B3460">
        <w:rPr>
          <w:rFonts w:ascii="Calibri" w:eastAsia="Google Sans Text" w:hAnsi="Calibri" w:cs="Calibri"/>
        </w:rPr>
        <w:t xml:space="preserve"> Facilitating more natural and accessible communication between patients and healthcare systems.</w:t>
      </w:r>
      <w:r w:rsidRPr="001B3460">
        <w:rPr>
          <w:rFonts w:ascii="Calibri" w:eastAsia="Google Sans Text" w:hAnsi="Calibri" w:cs="Calibri"/>
          <w:vertAlign w:val="superscript"/>
        </w:rPr>
        <w:t>36</w:t>
      </w:r>
    </w:p>
    <w:p w14:paraId="3FD1397E"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A key advantage of this approach is its flexibility. Using techniques like </w:t>
      </w:r>
      <w:r w:rsidRPr="001B3460">
        <w:rPr>
          <w:rFonts w:ascii="Calibri" w:eastAsia="Google Sans Text" w:hAnsi="Calibri" w:cs="Calibri"/>
          <w:b/>
        </w:rPr>
        <w:t>zero-shot prompting</w:t>
      </w:r>
      <w:r w:rsidRPr="001B3460">
        <w:rPr>
          <w:rFonts w:ascii="Calibri" w:eastAsia="Google Sans Text" w:hAnsi="Calibri" w:cs="Calibri"/>
        </w:rPr>
        <w:t>, where the model is given instructions in natural language without any task-specific training examples, LLMs can be rapidly deployed for new tasks. Some studies have demonstrated surprisingly high efficacy with this method. For example, one recent evaluation found that GPT-4o could achieve an overall accuracy of 91.4% in extracting structured demographic, diagnostic, and pharmacological information from unstructured Spanish medical reports, outperforming several other prominent LLMs.</w:t>
      </w:r>
      <w:r w:rsidRPr="001B3460">
        <w:rPr>
          <w:rFonts w:ascii="Calibri" w:eastAsia="Google Sans Text" w:hAnsi="Calibri" w:cs="Calibri"/>
          <w:vertAlign w:val="superscript"/>
        </w:rPr>
        <w:t>40</w:t>
      </w:r>
      <w:r w:rsidRPr="001B3460">
        <w:rPr>
          <w:rFonts w:ascii="Calibri" w:eastAsia="Google Sans Text" w:hAnsi="Calibri" w:cs="Calibri"/>
        </w:rPr>
        <w:t xml:space="preserve"> This suggests a powerful, off-the-shelf capability for data processing that does not require the extensive, resource-intensive pre-training and fine-tuning cycles characteristic of the encoder paradigm.</w:t>
      </w:r>
    </w:p>
    <w:p w14:paraId="589771CF"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2D697F65" w14:textId="40A5756B"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3.2. The Peril: Factual Unreliability and "AI Bullshit"</w:t>
      </w:r>
    </w:p>
    <w:p w14:paraId="434919E9"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Despite its promise, the Direct LLM paradigm is plagued by a critical and dangerous flaw: a fundamental lack of factual reliability. </w:t>
      </w:r>
      <w:r w:rsidRPr="001D08AB">
        <w:rPr>
          <w:rFonts w:ascii="Calibri" w:eastAsia="Google Sans Text" w:hAnsi="Calibri" w:cs="Calibri"/>
          <w:u w:val="single"/>
        </w:rPr>
        <w:t>The core mechanism of an LLM is to predict the next most statistically plausible word in a sequence based on the patterns it learned from its training data.</w:t>
      </w:r>
      <w:r w:rsidRPr="001D08AB">
        <w:rPr>
          <w:rFonts w:ascii="Calibri" w:eastAsia="Google Sans Text" w:hAnsi="Calibri" w:cs="Calibri"/>
          <w:u w:val="single"/>
          <w:vertAlign w:val="superscript"/>
        </w:rPr>
        <w:t>12</w:t>
      </w:r>
      <w:r w:rsidRPr="001D08AB">
        <w:rPr>
          <w:rFonts w:ascii="Calibri" w:eastAsia="Google Sans Text" w:hAnsi="Calibri" w:cs="Calibri"/>
          <w:u w:val="single"/>
        </w:rPr>
        <w:t xml:space="preserve"> It does not possess a true model of the world, an understanding of facts, or a concept of truth.</w:t>
      </w:r>
      <w:r w:rsidRPr="001B3460">
        <w:rPr>
          <w:rFonts w:ascii="Calibri" w:eastAsia="Google Sans Text" w:hAnsi="Calibri" w:cs="Calibri"/>
        </w:rPr>
        <w:t xml:space="preserve"> This can lead to the generation of text that is fluent, coherent, and contextually appropriate, but factually incorrect or entirely fabricated. This phenomenon is often referred to as "AI hallucination."</w:t>
      </w:r>
    </w:p>
    <w:p w14:paraId="6673DFC7"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A more precise term, drawing from the philosophical work of Harry Frankfurt, might be "bullshit".</w:t>
      </w:r>
      <w:r w:rsidRPr="001B3460">
        <w:rPr>
          <w:rFonts w:ascii="Calibri" w:eastAsia="Google Sans Text" w:hAnsi="Calibri" w:cs="Calibri"/>
          <w:vertAlign w:val="superscript"/>
        </w:rPr>
        <w:t>12</w:t>
      </w:r>
      <w:r w:rsidRPr="001B3460">
        <w:rPr>
          <w:rFonts w:ascii="Calibri" w:eastAsia="Google Sans Text" w:hAnsi="Calibri" w:cs="Calibri"/>
        </w:rPr>
        <w:t xml:space="preserve"> Whereas a liar knows the truth and intentionally misrepresents it, a bullshitter is indifferent to the truth; their goal is simply to produce a plausible-sounding output. This accurately describes the failure mode of an LLM. This inherent disregard for accuracy poses an unacceptable risk in high-stakes environments like medicine.</w:t>
      </w:r>
    </w:p>
    <w:p w14:paraId="065CB0DC"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Systematic evaluations have consistently confirmed this unreliability:</w:t>
      </w:r>
    </w:p>
    <w:p w14:paraId="2CF99A0D" w14:textId="77777777" w:rsidR="00BA42C7" w:rsidRPr="001B3460" w:rsidRDefault="00000000" w:rsidP="001B3460">
      <w:pPr>
        <w:numPr>
          <w:ilvl w:val="0"/>
          <w:numId w:val="8"/>
        </w:numPr>
        <w:pBdr>
          <w:top w:val="nil"/>
          <w:left w:val="nil"/>
          <w:bottom w:val="nil"/>
          <w:right w:val="nil"/>
          <w:between w:val="nil"/>
        </w:pBdr>
        <w:spacing w:after="120"/>
        <w:rPr>
          <w:rFonts w:ascii="Calibri" w:hAnsi="Calibri" w:cs="Calibri"/>
        </w:rPr>
      </w:pPr>
      <w:r w:rsidRPr="001B3460">
        <w:rPr>
          <w:rFonts w:ascii="Calibri" w:eastAsia="Google Sans Text" w:hAnsi="Calibri" w:cs="Calibri"/>
        </w:rPr>
        <w:t>A 2025 study comparing LLMs on their ability to retrieve information on disease epidemiology found that the accuracy of GPT-4 was only 76.2%, while Google's Bard and GPT-3.5 were even lower, at 50.0% and 45.2%, respectively.</w:t>
      </w:r>
      <w:r w:rsidRPr="001B3460">
        <w:rPr>
          <w:rFonts w:ascii="Calibri" w:eastAsia="Google Sans Text" w:hAnsi="Calibri" w:cs="Calibri"/>
          <w:vertAlign w:val="superscript"/>
        </w:rPr>
        <w:t>11</w:t>
      </w:r>
    </w:p>
    <w:p w14:paraId="7E97AC0D" w14:textId="77777777" w:rsidR="00BA42C7" w:rsidRPr="001B3460" w:rsidRDefault="00000000" w:rsidP="001B3460">
      <w:pPr>
        <w:numPr>
          <w:ilvl w:val="0"/>
          <w:numId w:val="8"/>
        </w:numPr>
        <w:pBdr>
          <w:top w:val="nil"/>
          <w:left w:val="nil"/>
          <w:bottom w:val="nil"/>
          <w:right w:val="nil"/>
          <w:between w:val="nil"/>
        </w:pBdr>
        <w:spacing w:after="120"/>
        <w:rPr>
          <w:rFonts w:ascii="Calibri" w:hAnsi="Calibri" w:cs="Calibri"/>
        </w:rPr>
      </w:pPr>
      <w:r w:rsidRPr="001B3460">
        <w:rPr>
          <w:rFonts w:ascii="Calibri" w:eastAsia="Google Sans Text" w:hAnsi="Calibri" w:cs="Calibri"/>
        </w:rPr>
        <w:t>A broader meta-analysis of LLMs used for clinical diagnosis found that the accuracy for determining the primary diagnosis varied wildly across studies, ranging from a low of 25% to a high of 97.8%, indicating extreme variability in performance depending on the task and model.</w:t>
      </w:r>
      <w:r w:rsidRPr="001B3460">
        <w:rPr>
          <w:rFonts w:ascii="Calibri" w:eastAsia="Google Sans Text" w:hAnsi="Calibri" w:cs="Calibri"/>
          <w:vertAlign w:val="superscript"/>
        </w:rPr>
        <w:t>41</w:t>
      </w:r>
    </w:p>
    <w:p w14:paraId="1BB06BEE" w14:textId="77777777" w:rsidR="00BA42C7" w:rsidRPr="001B3460" w:rsidRDefault="00000000" w:rsidP="001B3460">
      <w:pPr>
        <w:numPr>
          <w:ilvl w:val="0"/>
          <w:numId w:val="8"/>
        </w:numPr>
        <w:pBdr>
          <w:top w:val="nil"/>
          <w:left w:val="nil"/>
          <w:bottom w:val="nil"/>
          <w:right w:val="nil"/>
          <w:between w:val="nil"/>
        </w:pBdr>
        <w:spacing w:after="120"/>
        <w:rPr>
          <w:rFonts w:ascii="Calibri" w:hAnsi="Calibri" w:cs="Calibri"/>
        </w:rPr>
      </w:pPr>
      <w:r w:rsidRPr="001B3460">
        <w:rPr>
          <w:rFonts w:ascii="Calibri" w:eastAsia="Google Sans Text" w:hAnsi="Calibri" w:cs="Calibri"/>
        </w:rPr>
        <w:t>A particularly concerning failure mode is the fabrication of sources. The epidemiology study found that LLMs frequently provided irrelevant or entirely non-existent references to support their claims, severely undermining their utility as knowledge retrieval tools.</w:t>
      </w:r>
      <w:r w:rsidRPr="001B3460">
        <w:rPr>
          <w:rFonts w:ascii="Calibri" w:eastAsia="Google Sans Text" w:hAnsi="Calibri" w:cs="Calibri"/>
          <w:vertAlign w:val="superscript"/>
        </w:rPr>
        <w:t>11</w:t>
      </w:r>
    </w:p>
    <w:p w14:paraId="5A295104"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This unreliability is not a minor bug to be patched but a fundamental characteristic of the current generation of LLM architecture. In a clinical setting, a confident, plausible-sounding falsehood is far more dangerous than a simple error or an admission of uncertainty.</w:t>
      </w:r>
    </w:p>
    <w:p w14:paraId="7E15F232"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3E4AE2B4" w14:textId="26966FC7"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3.3. Mitigation Strategies: Fine-Tuning and Retrieval-Augmented Generation (RAG)</w:t>
      </w:r>
    </w:p>
    <w:p w14:paraId="59E7F565"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lastRenderedPageBreak/>
        <w:t>Recognizing the limitations of off-the-shelf LLMs, researchers have developed two primary strategies to improve their reliability and align them with specific clinical tasks: fine-tuning and Retrieval-Augmented Generation (RAG).</w:t>
      </w:r>
    </w:p>
    <w:p w14:paraId="32BE1403" w14:textId="77777777" w:rsidR="00BA42C7" w:rsidRPr="001B3460" w:rsidRDefault="00000000" w:rsidP="001B3460">
      <w:pPr>
        <w:numPr>
          <w:ilvl w:val="0"/>
          <w:numId w:val="9"/>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Fine-Tuning:</w:t>
      </w:r>
      <w:r w:rsidRPr="001B3460">
        <w:rPr>
          <w:rFonts w:ascii="Calibri" w:eastAsia="Google Sans Text" w:hAnsi="Calibri" w:cs="Calibri"/>
        </w:rPr>
        <w:t xml:space="preserve"> This process involves taking a general-purpose, pre-trained LLM and continuing its training on a smaller, curated, task-specific dataset.</w:t>
      </w:r>
      <w:r w:rsidRPr="001B3460">
        <w:rPr>
          <w:rFonts w:ascii="Calibri" w:eastAsia="Google Sans Text" w:hAnsi="Calibri" w:cs="Calibri"/>
          <w:vertAlign w:val="superscript"/>
        </w:rPr>
        <w:t>43</w:t>
      </w:r>
      <w:r w:rsidRPr="001B3460">
        <w:rPr>
          <w:rFonts w:ascii="Calibri" w:eastAsia="Google Sans Text" w:hAnsi="Calibri" w:cs="Calibri"/>
        </w:rPr>
        <w:t xml:space="preserve"> For example, an LLM could be fine-tuned on a set of clinical notes that have been manually annotated for expressions of depression. This helps the model adapt its responses to the specific vocabulary, style, and requirements of the clinical domain. The availability of open-source models like </w:t>
      </w:r>
      <w:proofErr w:type="spellStart"/>
      <w:r w:rsidRPr="001B3460">
        <w:rPr>
          <w:rFonts w:ascii="Calibri" w:eastAsia="Google Sans Text" w:hAnsi="Calibri" w:cs="Calibri"/>
        </w:rPr>
        <w:t>LLaMA</w:t>
      </w:r>
      <w:proofErr w:type="spellEnd"/>
      <w:r w:rsidRPr="001B3460">
        <w:rPr>
          <w:rFonts w:ascii="Calibri" w:eastAsia="Google Sans Text" w:hAnsi="Calibri" w:cs="Calibri"/>
        </w:rPr>
        <w:t xml:space="preserve"> allows for this fine-tuning to be done in a local, secure environment, which is crucial for protecting patient data privacy.</w:t>
      </w:r>
      <w:r w:rsidRPr="001B3460">
        <w:rPr>
          <w:rFonts w:ascii="Calibri" w:eastAsia="Google Sans Text" w:hAnsi="Calibri" w:cs="Calibri"/>
          <w:vertAlign w:val="superscript"/>
        </w:rPr>
        <w:t>10</w:t>
      </w:r>
    </w:p>
    <w:p w14:paraId="41127548" w14:textId="77777777" w:rsidR="00BA42C7" w:rsidRPr="001B3460" w:rsidRDefault="00000000" w:rsidP="001B3460">
      <w:pPr>
        <w:numPr>
          <w:ilvl w:val="0"/>
          <w:numId w:val="9"/>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Retrieval-Augmented Generation (RAG):</w:t>
      </w:r>
      <w:r w:rsidRPr="001B3460">
        <w:rPr>
          <w:rFonts w:ascii="Calibri" w:eastAsia="Google Sans Text" w:hAnsi="Calibri" w:cs="Calibri"/>
        </w:rPr>
        <w:t xml:space="preserve"> This technique represents a more significant architectural change, designed specifically to combat hallucinations and ground the LLM's responses in verifiable facts.</w:t>
      </w:r>
      <w:r w:rsidRPr="001B3460">
        <w:rPr>
          <w:rFonts w:ascii="Calibri" w:eastAsia="Google Sans Text" w:hAnsi="Calibri" w:cs="Calibri"/>
          <w:vertAlign w:val="superscript"/>
        </w:rPr>
        <w:t>13</w:t>
      </w:r>
      <w:r w:rsidRPr="001B3460">
        <w:rPr>
          <w:rFonts w:ascii="Calibri" w:eastAsia="Google Sans Text" w:hAnsi="Calibri" w:cs="Calibri"/>
        </w:rPr>
        <w:t xml:space="preserve"> A RAG system consists of two main components: a</w:t>
      </w:r>
      <w:r w:rsidRPr="001B3460">
        <w:rPr>
          <w:rFonts w:ascii="Calibri" w:hAnsi="Calibri" w:cs="Calibri"/>
          <w:color w:val="000000"/>
        </w:rPr>
        <w:br/>
      </w:r>
      <w:r w:rsidRPr="001B3460">
        <w:rPr>
          <w:rFonts w:ascii="Calibri" w:eastAsia="Google Sans Text" w:hAnsi="Calibri" w:cs="Calibri"/>
          <w:b/>
        </w:rPr>
        <w:t>retriever</w:t>
      </w:r>
      <w:r w:rsidRPr="001B3460">
        <w:rPr>
          <w:rFonts w:ascii="Calibri" w:eastAsia="Google Sans Text" w:hAnsi="Calibri" w:cs="Calibri"/>
        </w:rPr>
        <w:t xml:space="preserve"> and a </w:t>
      </w:r>
      <w:r w:rsidRPr="001B3460">
        <w:rPr>
          <w:rFonts w:ascii="Calibri" w:eastAsia="Google Sans Text" w:hAnsi="Calibri" w:cs="Calibri"/>
          <w:b/>
        </w:rPr>
        <w:t>generator</w:t>
      </w:r>
      <w:r w:rsidRPr="001B3460">
        <w:rPr>
          <w:rFonts w:ascii="Calibri" w:eastAsia="Google Sans Text" w:hAnsi="Calibri" w:cs="Calibri"/>
        </w:rPr>
        <w:t xml:space="preserve"> (the LLM). When a query is made, the retriever first searches a trusted, external knowledge base (e.g., the patient's actual EHR, a medical textbook, or clinical guidelines) to find documents or data chunks that are relevant to the query. This retrieved information is then passed to the LLM as part of the prompt, providing it with explicit, factual context. The LLM's task is then to synthesize this provided context to generate a final answer.</w:t>
      </w:r>
      <w:r w:rsidRPr="001B3460">
        <w:rPr>
          <w:rFonts w:ascii="Calibri" w:eastAsia="Google Sans Text" w:hAnsi="Calibri" w:cs="Calibri"/>
          <w:vertAlign w:val="superscript"/>
        </w:rPr>
        <w:t>40</w:t>
      </w:r>
      <w:r w:rsidRPr="001B3460">
        <w:rPr>
          <w:rFonts w:ascii="Calibri" w:eastAsia="Google Sans Text" w:hAnsi="Calibri" w:cs="Calibri"/>
        </w:rPr>
        <w:t xml:space="preserve"> Studies have shown that RAG-based approaches consistently outperform fine-tuning alone, as they directly address the LLM's knowledge limitations by grounding it in an external source of truth.</w:t>
      </w:r>
      <w:r w:rsidRPr="001B3460">
        <w:rPr>
          <w:rFonts w:ascii="Calibri" w:eastAsia="Google Sans Text" w:hAnsi="Calibri" w:cs="Calibri"/>
          <w:vertAlign w:val="superscript"/>
        </w:rPr>
        <w:t>13</w:t>
      </w:r>
    </w:p>
    <w:p w14:paraId="7C2A1BDA" w14:textId="77777777" w:rsidR="00BA42C7" w:rsidRPr="001B3460" w:rsidRDefault="00BA42C7" w:rsidP="001B3460">
      <w:pPr>
        <w:pBdr>
          <w:top w:val="nil"/>
          <w:left w:val="nil"/>
          <w:bottom w:val="nil"/>
          <w:right w:val="nil"/>
          <w:between w:val="nil"/>
        </w:pBdr>
        <w:spacing w:after="120"/>
        <w:rPr>
          <w:rFonts w:ascii="Calibri" w:eastAsia="Google Sans Text" w:hAnsi="Calibri" w:cs="Calibri"/>
          <w:vertAlign w:val="superscript"/>
        </w:rPr>
      </w:pPr>
    </w:p>
    <w:p w14:paraId="77EE656D" w14:textId="744AD9F7"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3.4. The Hidden Complexity of RAG: A Two-Point Failure System</w:t>
      </w:r>
    </w:p>
    <w:p w14:paraId="0FB5F3EC"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While RAG is a powerful and necessary mitigation strategy, it is not a panacea. By design, it transforms the system from a single "black box" (the LLM) into a more complex, two-stage pipeline. This introduces a new set of challenges and potential failure points. The overall reliability of a RAG system is no longer just the reliability of the LLM; it is the product of the reliability of the retriever </w:t>
      </w:r>
      <w:r w:rsidRPr="001B3460">
        <w:rPr>
          <w:rFonts w:ascii="Calibri" w:eastAsia="Google Sans Text" w:hAnsi="Calibri" w:cs="Calibri"/>
          <w:i/>
        </w:rPr>
        <w:t>and</w:t>
      </w:r>
      <w:r w:rsidRPr="001B3460">
        <w:rPr>
          <w:rFonts w:ascii="Calibri" w:eastAsia="Google Sans Text" w:hAnsi="Calibri" w:cs="Calibri"/>
        </w:rPr>
        <w:t xml:space="preserve"> the reliability of the generator.</w:t>
      </w:r>
    </w:p>
    <w:p w14:paraId="525B58CF"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An error can now occur at two distinct points:</w:t>
      </w:r>
    </w:p>
    <w:p w14:paraId="156AE042" w14:textId="77777777" w:rsidR="00BA42C7" w:rsidRPr="001B3460" w:rsidRDefault="00000000" w:rsidP="001B3460">
      <w:pPr>
        <w:numPr>
          <w:ilvl w:val="0"/>
          <w:numId w:val="10"/>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Retrieval Failure:</w:t>
      </w:r>
      <w:r w:rsidRPr="001B3460">
        <w:rPr>
          <w:rFonts w:ascii="Calibri" w:eastAsia="Google Sans Text" w:hAnsi="Calibri" w:cs="Calibri"/>
        </w:rPr>
        <w:t xml:space="preserve"> The retriever may fail to find the correct or most relevant information from the knowledge base. It might retrieve outdated information, incomplete snippets, or miss the crucial document entirely.</w:t>
      </w:r>
    </w:p>
    <w:p w14:paraId="4029FC66" w14:textId="77777777" w:rsidR="00BA42C7" w:rsidRPr="001B3460" w:rsidRDefault="00000000" w:rsidP="001B3460">
      <w:pPr>
        <w:numPr>
          <w:ilvl w:val="0"/>
          <w:numId w:val="10"/>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Generation Failure:</w:t>
      </w:r>
      <w:r w:rsidRPr="001B3460">
        <w:rPr>
          <w:rFonts w:ascii="Calibri" w:eastAsia="Google Sans Text" w:hAnsi="Calibri" w:cs="Calibri"/>
        </w:rPr>
        <w:t xml:space="preserve"> Even if the retriever provides the correct context, the LLM may still fail. It could misinterpret the provided information, ignore it in favor of its own pre-trained (and potentially incorrect) knowledge, or fail to synthesize multiple pieces of retrieved information coherently.</w:t>
      </w:r>
    </w:p>
    <w:p w14:paraId="25C4A647"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This two-point failure system makes debugging and ensuring robustness significantly more difficult. When the system produces an incorrect output, it is not immediately clear whether the fault lies with the retrieval algorithm or the LLM's generative process. This lack of transparent error attribution is a major obstacle to building the level of trust required for deployment in a clinical environment.</w:t>
      </w:r>
    </w:p>
    <w:p w14:paraId="042BC7BD"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Ultimately, the Direct LLM paradigm does not solve the underlying data quality problem that affects encoder models. Instead, it trades a data quality problem for a verifiability crisis. The Encoder-Retrieval approach is constrained by the quality of its structured inputs, but its outputs are deterministic and traceable to those inputs. The Direct LLM approach attempts to bypass the input problem by processing raw text, but in doing so, it creates outputs that are probabilistic, non-deterministic, and cannot be trusted without independent verification. This shifts the immense burden of quality control from the </w:t>
      </w:r>
      <w:r w:rsidRPr="001B3460">
        <w:rPr>
          <w:rFonts w:ascii="Calibri" w:eastAsia="Google Sans Text" w:hAnsi="Calibri" w:cs="Calibri"/>
          <w:i/>
        </w:rPr>
        <w:t>input stage</w:t>
      </w:r>
      <w:r w:rsidRPr="001B3460">
        <w:rPr>
          <w:rFonts w:ascii="Calibri" w:eastAsia="Google Sans Text" w:hAnsi="Calibri" w:cs="Calibri"/>
        </w:rPr>
        <w:t xml:space="preserve"> (data curation) to the </w:t>
      </w:r>
      <w:r w:rsidRPr="001B3460">
        <w:rPr>
          <w:rFonts w:ascii="Calibri" w:eastAsia="Google Sans Text" w:hAnsi="Calibri" w:cs="Calibri"/>
          <w:i/>
        </w:rPr>
        <w:t>output stage</w:t>
      </w:r>
      <w:r w:rsidRPr="001B3460">
        <w:rPr>
          <w:rFonts w:ascii="Calibri" w:eastAsia="Google Sans Text" w:hAnsi="Calibri" w:cs="Calibri"/>
        </w:rPr>
        <w:t xml:space="preserve"> (expert verification of every result). In a clinical workflow, this negates much of the promised efficiency gain and introduces a new and insidious risk of plausible-sounding misinformation guiding critical decisions.</w:t>
      </w:r>
    </w:p>
    <w:p w14:paraId="1E9A5E40"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65247B38" w14:textId="7698CD2B" w:rsidR="00BA42C7" w:rsidRPr="001B3460" w:rsidRDefault="00000000" w:rsidP="001D08AB">
      <w:pPr>
        <w:pStyle w:val="Heading2"/>
        <w:spacing w:before="0" w:after="120"/>
        <w:rPr>
          <w:rFonts w:ascii="Calibri" w:eastAsia="Google Sans" w:hAnsi="Calibri" w:cs="Calibri"/>
          <w:sz w:val="22"/>
          <w:szCs w:val="22"/>
        </w:rPr>
      </w:pPr>
      <w:r w:rsidRPr="001B3460">
        <w:rPr>
          <w:rFonts w:ascii="Calibri" w:eastAsia="Google Sans" w:hAnsi="Calibri" w:cs="Calibri"/>
          <w:sz w:val="22"/>
          <w:szCs w:val="22"/>
        </w:rPr>
        <w:t>IV. A Comparative Mechanistic Analysis: Encoder vs. LLM Retrieval for Clinical Utility</w:t>
      </w:r>
    </w:p>
    <w:p w14:paraId="4397FCC5"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To guide strategic investment and development in psychiatric digital twins, a direct, multi-faceted comparison of the Encoder-Retrieval and Direct LLM paradigms is essential. This analysis moves beyond surface-level performance metrics to evaluate the underlying mechanics, inherent trade-offs, and suitability of each approach for constructing a clinically useful digital twin for depression. The comparison reveals that these two paradigms represent fundamentally different </w:t>
      </w:r>
      <w:r w:rsidRPr="001B3460">
        <w:rPr>
          <w:rFonts w:ascii="Calibri" w:eastAsia="Google Sans Text" w:hAnsi="Calibri" w:cs="Calibri"/>
        </w:rPr>
        <w:lastRenderedPageBreak/>
        <w:t>philosophies of data modeling, each with a distinct profile of strengths, weaknesses, and risks.</w:t>
      </w:r>
    </w:p>
    <w:p w14:paraId="38C8DAD9"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392FBFB2" w14:textId="5F03CEF3"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4.1. Data Fidelity and Representation</w:t>
      </w:r>
    </w:p>
    <w:p w14:paraId="77D9D7D1"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A model's utility is contingent on the fidelity of its internal representation of the patient.</w:t>
      </w:r>
    </w:p>
    <w:p w14:paraId="7B396A0E" w14:textId="77777777" w:rsidR="00BA42C7" w:rsidRPr="001B3460" w:rsidRDefault="00000000" w:rsidP="001B3460">
      <w:pPr>
        <w:numPr>
          <w:ilvl w:val="0"/>
          <w:numId w:val="11"/>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Encoders:</w:t>
      </w:r>
      <w:r w:rsidRPr="001B3460">
        <w:rPr>
          <w:rFonts w:ascii="Calibri" w:eastAsia="Google Sans Text" w:hAnsi="Calibri" w:cs="Calibri"/>
        </w:rPr>
        <w:t xml:space="preserve"> These models achieve high fidelity to the </w:t>
      </w:r>
      <w:r w:rsidRPr="001B3460">
        <w:rPr>
          <w:rFonts w:ascii="Calibri" w:eastAsia="Google Sans Text" w:hAnsi="Calibri" w:cs="Calibri"/>
          <w:i/>
        </w:rPr>
        <w:t>structured record</w:t>
      </w:r>
      <w:r w:rsidRPr="001B3460">
        <w:rPr>
          <w:rFonts w:ascii="Calibri" w:eastAsia="Google Sans Text" w:hAnsi="Calibri" w:cs="Calibri"/>
        </w:rPr>
        <w:t>. They are designed to create a mathematically faithful representation of the sequence of coded data as it exists in the EHR.</w:t>
      </w:r>
      <w:r w:rsidRPr="001B3460">
        <w:rPr>
          <w:rFonts w:ascii="Calibri" w:eastAsia="Google Sans Text" w:hAnsi="Calibri" w:cs="Calibri"/>
          <w:vertAlign w:val="superscript"/>
        </w:rPr>
        <w:t>34</w:t>
      </w:r>
      <w:r w:rsidRPr="001B3460">
        <w:rPr>
          <w:rFonts w:ascii="Calibri" w:eastAsia="Google Sans Text" w:hAnsi="Calibri" w:cs="Calibri"/>
        </w:rPr>
        <w:t xml:space="preserve"> The resulting patient embedding is a direct, deterministic function of the input codes and their temporal relationships. However, this high fidelity to the record translates to low fidelity to the</w:t>
      </w:r>
      <w:r w:rsidRPr="001B3460">
        <w:rPr>
          <w:rFonts w:ascii="Calibri" w:hAnsi="Calibri" w:cs="Calibri"/>
          <w:color w:val="000000"/>
        </w:rPr>
        <w:br/>
      </w:r>
      <w:r w:rsidRPr="001B3460">
        <w:rPr>
          <w:rFonts w:ascii="Calibri" w:eastAsia="Google Sans Text" w:hAnsi="Calibri" w:cs="Calibri"/>
          <w:i/>
        </w:rPr>
        <w:t>patient's true clinical state</w:t>
      </w:r>
      <w:r w:rsidRPr="001B3460">
        <w:rPr>
          <w:rFonts w:ascii="Calibri" w:eastAsia="Google Sans Text" w:hAnsi="Calibri" w:cs="Calibri"/>
        </w:rPr>
        <w:t>. Because the structured record is an incomplete and often biased proxy for the patient's condition, the encoder's representation is similarly incomplete and biased.</w:t>
      </w:r>
      <w:r w:rsidRPr="001B3460">
        <w:rPr>
          <w:rFonts w:ascii="Calibri" w:eastAsia="Google Sans Text" w:hAnsi="Calibri" w:cs="Calibri"/>
          <w:vertAlign w:val="superscript"/>
        </w:rPr>
        <w:t>7</w:t>
      </w:r>
    </w:p>
    <w:p w14:paraId="64A6821C" w14:textId="6863B415" w:rsidR="00BA42C7" w:rsidRPr="001B3460" w:rsidRDefault="00000000" w:rsidP="001B3460">
      <w:pPr>
        <w:numPr>
          <w:ilvl w:val="0"/>
          <w:numId w:val="11"/>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LLMs:</w:t>
      </w:r>
      <w:r w:rsidRPr="001B3460">
        <w:rPr>
          <w:rFonts w:ascii="Calibri" w:eastAsia="Google Sans Text" w:hAnsi="Calibri" w:cs="Calibri"/>
        </w:rPr>
        <w:t xml:space="preserve"> In theory, LLMs offer the potential for higher fidelity to the patient's true state by directly accessing the rich, unstructured narratives in clinical notes and patient messages.</w:t>
      </w:r>
      <w:r w:rsidRPr="001B3460">
        <w:rPr>
          <w:rFonts w:ascii="Calibri" w:eastAsia="Google Sans Text" w:hAnsi="Calibri" w:cs="Calibri"/>
          <w:vertAlign w:val="superscript"/>
        </w:rPr>
        <w:t>8</w:t>
      </w:r>
      <w:r w:rsidRPr="001B3460">
        <w:rPr>
          <w:rFonts w:ascii="Calibri" w:eastAsia="Google Sans Text" w:hAnsi="Calibri" w:cs="Calibri"/>
        </w:rPr>
        <w:t xml:space="preserve"> However, the model's internal representation of this information is opaque and not directly accessible. The output is not a direct representation but a</w:t>
      </w:r>
      <w:r w:rsidR="001D08AB">
        <w:rPr>
          <w:rFonts w:ascii="Calibri" w:hAnsi="Calibri" w:cs="Calibri"/>
          <w:color w:val="000000"/>
        </w:rPr>
        <w:t xml:space="preserve"> </w:t>
      </w:r>
      <w:r w:rsidRPr="001B3460">
        <w:rPr>
          <w:rFonts w:ascii="Calibri" w:eastAsia="Google Sans Text" w:hAnsi="Calibri" w:cs="Calibri"/>
          <w:i/>
        </w:rPr>
        <w:t>generated interpretation</w:t>
      </w:r>
      <w:r w:rsidRPr="001B3460">
        <w:rPr>
          <w:rFonts w:ascii="Calibri" w:eastAsia="Google Sans Text" w:hAnsi="Calibri" w:cs="Calibri"/>
        </w:rPr>
        <w:t xml:space="preserve"> of the input text. This generative step introduces a critical layer of abstraction and the inherent risk of misinterpretation, simplification, or outright fabrication.</w:t>
      </w:r>
      <w:r w:rsidRPr="001B3460">
        <w:rPr>
          <w:rFonts w:ascii="Calibri" w:eastAsia="Google Sans Text" w:hAnsi="Calibri" w:cs="Calibri"/>
          <w:vertAlign w:val="superscript"/>
        </w:rPr>
        <w:t>12</w:t>
      </w:r>
      <w:r w:rsidRPr="001B3460">
        <w:rPr>
          <w:rFonts w:ascii="Calibri" w:eastAsia="Google Sans Text" w:hAnsi="Calibri" w:cs="Calibri"/>
        </w:rPr>
        <w:t xml:space="preserve"> The fidelity of the output is therefore not guaranteed and can be highly variable.</w:t>
      </w:r>
    </w:p>
    <w:p w14:paraId="62DA6315"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06DB39CF" w14:textId="5400882F"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4.2. Computational Demands and Training</w:t>
      </w:r>
    </w:p>
    <w:p w14:paraId="23458069"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 resources required to build and deploy these models differ significantly.</w:t>
      </w:r>
    </w:p>
    <w:p w14:paraId="3C5BF730" w14:textId="77777777" w:rsidR="00BA42C7" w:rsidRPr="001B3460" w:rsidRDefault="00000000" w:rsidP="001B3460">
      <w:pPr>
        <w:numPr>
          <w:ilvl w:val="0"/>
          <w:numId w:val="12"/>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Encoders:</w:t>
      </w:r>
      <w:r w:rsidRPr="001B3460">
        <w:rPr>
          <w:rFonts w:ascii="Calibri" w:eastAsia="Google Sans Text" w:hAnsi="Calibri" w:cs="Calibri"/>
        </w:rPr>
        <w:t xml:space="preserve"> This paradigm requires a substantial upfront investment in large-scale, domain-specific pre-training. Models like Med-BERT were pre-trained on the records of over 28 million patients, a computationally intensive undertaking.</w:t>
      </w:r>
      <w:r w:rsidRPr="001B3460">
        <w:rPr>
          <w:rFonts w:ascii="Calibri" w:eastAsia="Google Sans Text" w:hAnsi="Calibri" w:cs="Calibri"/>
          <w:vertAlign w:val="superscript"/>
        </w:rPr>
        <w:t>34</w:t>
      </w:r>
      <w:r w:rsidRPr="001B3460">
        <w:rPr>
          <w:rFonts w:ascii="Calibri" w:eastAsia="Google Sans Text" w:hAnsi="Calibri" w:cs="Calibri"/>
        </w:rPr>
        <w:t xml:space="preserve"> However, once this foundational model is built, fine-tuning it for specific downstream tasks (like depression prediction) is a relatively efficient process. The primary cost is a one-time capital expenditure on computation for pre-training.</w:t>
      </w:r>
    </w:p>
    <w:p w14:paraId="2F26CB5F" w14:textId="77777777" w:rsidR="00BA42C7" w:rsidRPr="001B3460" w:rsidRDefault="00000000" w:rsidP="001B3460">
      <w:pPr>
        <w:numPr>
          <w:ilvl w:val="0"/>
          <w:numId w:val="12"/>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LLMs:</w:t>
      </w:r>
      <w:r w:rsidRPr="001B3460">
        <w:rPr>
          <w:rFonts w:ascii="Calibri" w:eastAsia="Google Sans Text" w:hAnsi="Calibri" w:cs="Calibri"/>
        </w:rPr>
        <w:t xml:space="preserve"> LLMs offer more flexible deployment models. They can be used </w:t>
      </w:r>
      <w:r w:rsidRPr="001B3460">
        <w:rPr>
          <w:rFonts w:ascii="Calibri" w:eastAsia="Google Sans Text" w:hAnsi="Calibri" w:cs="Calibri"/>
          <w:b/>
        </w:rPr>
        <w:t>zero-shot</w:t>
      </w:r>
      <w:r w:rsidRPr="001B3460">
        <w:rPr>
          <w:rFonts w:ascii="Calibri" w:eastAsia="Google Sans Text" w:hAnsi="Calibri" w:cs="Calibri"/>
        </w:rPr>
        <w:t>, requiring no task-specific training at all, which is computationally trivial at the user's end.</w:t>
      </w:r>
      <w:r w:rsidRPr="001B3460">
        <w:rPr>
          <w:rFonts w:ascii="Calibri" w:eastAsia="Google Sans Text" w:hAnsi="Calibri" w:cs="Calibri"/>
          <w:vertAlign w:val="superscript"/>
        </w:rPr>
        <w:t>40</w:t>
      </w:r>
      <w:r w:rsidRPr="001B3460">
        <w:rPr>
          <w:rFonts w:ascii="Calibri" w:eastAsia="Google Sans Text" w:hAnsi="Calibri" w:cs="Calibri"/>
        </w:rPr>
        <w:t xml:space="preserve"> Alternatively, they can be fine-tuned on specific data, a process that can still be resource-intensive but is generally less demanding than pre-training an encoder from scratch.</w:t>
      </w:r>
      <w:r w:rsidRPr="001B3460">
        <w:rPr>
          <w:rFonts w:ascii="Calibri" w:eastAsia="Google Sans Text" w:hAnsi="Calibri" w:cs="Calibri"/>
          <w:vertAlign w:val="superscript"/>
        </w:rPr>
        <w:t>43</w:t>
      </w:r>
      <w:r w:rsidRPr="001B3460">
        <w:rPr>
          <w:rFonts w:ascii="Calibri" w:eastAsia="Google Sans Text" w:hAnsi="Calibri" w:cs="Calibri"/>
        </w:rPr>
        <w:t xml:space="preserve"> A common deployment model involves using proprietary, closed-source models (e.g., GPT-4) via an Application Programming Interface (API). This offloads the computational burden to a third-party provider but introduces significant concerns regarding data privacy, operational costs, and dependency on a model whose architecture and training data are not transparent.</w:t>
      </w:r>
      <w:r w:rsidRPr="001B3460">
        <w:rPr>
          <w:rFonts w:ascii="Calibri" w:eastAsia="Google Sans Text" w:hAnsi="Calibri" w:cs="Calibri"/>
          <w:vertAlign w:val="superscript"/>
        </w:rPr>
        <w:t>36</w:t>
      </w:r>
    </w:p>
    <w:p w14:paraId="7E54DAAB" w14:textId="77777777" w:rsidR="00BA42C7" w:rsidRPr="001B3460" w:rsidRDefault="00BA42C7" w:rsidP="001B3460">
      <w:pPr>
        <w:pBdr>
          <w:top w:val="nil"/>
          <w:left w:val="nil"/>
          <w:bottom w:val="nil"/>
          <w:right w:val="nil"/>
          <w:between w:val="nil"/>
        </w:pBdr>
        <w:spacing w:after="120"/>
        <w:rPr>
          <w:rFonts w:ascii="Calibri" w:eastAsia="Google Sans Text" w:hAnsi="Calibri" w:cs="Calibri"/>
          <w:vertAlign w:val="superscript"/>
        </w:rPr>
      </w:pPr>
    </w:p>
    <w:p w14:paraId="2DA0E0DA" w14:textId="12103B42"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 xml:space="preserve">4.3. Interpretability and </w:t>
      </w:r>
      <w:proofErr w:type="spellStart"/>
      <w:r w:rsidRPr="001B3460">
        <w:rPr>
          <w:rFonts w:ascii="Calibri" w:eastAsia="Google Sans" w:hAnsi="Calibri" w:cs="Calibri"/>
          <w:sz w:val="22"/>
          <w:szCs w:val="22"/>
        </w:rPr>
        <w:t>Explainability</w:t>
      </w:r>
      <w:proofErr w:type="spellEnd"/>
    </w:p>
    <w:p w14:paraId="0FDED4A1"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 ability to understand and trust a model's reasoning is paramount in medicine.</w:t>
      </w:r>
    </w:p>
    <w:p w14:paraId="728FD843" w14:textId="7CAB5A91" w:rsidR="00BA42C7" w:rsidRPr="001B3460" w:rsidRDefault="00000000" w:rsidP="001B3460">
      <w:pPr>
        <w:numPr>
          <w:ilvl w:val="0"/>
          <w:numId w:val="13"/>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Encoders:</w:t>
      </w:r>
      <w:r w:rsidRPr="001B3460">
        <w:rPr>
          <w:rFonts w:ascii="Calibri" w:eastAsia="Google Sans Text" w:hAnsi="Calibri" w:cs="Calibri"/>
        </w:rPr>
        <w:t xml:space="preserve"> These models are often described as "black boxes," as the meaning of the thousands of numbers in a dense patient embedding is not human-readable.</w:t>
      </w:r>
      <w:r w:rsidRPr="001B3460">
        <w:rPr>
          <w:rFonts w:ascii="Calibri" w:eastAsia="Google Sans Text" w:hAnsi="Calibri" w:cs="Calibri"/>
          <w:vertAlign w:val="superscript"/>
        </w:rPr>
        <w:t>44</w:t>
      </w:r>
      <w:r w:rsidRPr="001B3460">
        <w:rPr>
          <w:rFonts w:ascii="Calibri" w:eastAsia="Google Sans Text" w:hAnsi="Calibri" w:cs="Calibri"/>
        </w:rPr>
        <w:t xml:space="preserve"> However, they offer a limited but valuable form of interpretability through their</w:t>
      </w:r>
      <w:r w:rsidR="001D08AB">
        <w:rPr>
          <w:rFonts w:ascii="Calibri" w:hAnsi="Calibri" w:cs="Calibri"/>
          <w:color w:val="000000"/>
        </w:rPr>
        <w:t xml:space="preserve"> </w:t>
      </w:r>
      <w:r w:rsidRPr="001B3460">
        <w:rPr>
          <w:rFonts w:ascii="Calibri" w:eastAsia="Google Sans Text" w:hAnsi="Calibri" w:cs="Calibri"/>
          <w:b/>
        </w:rPr>
        <w:t>self-attention mechanisms</w:t>
      </w:r>
      <w:r w:rsidRPr="001B3460">
        <w:rPr>
          <w:rFonts w:ascii="Calibri" w:eastAsia="Google Sans Text" w:hAnsi="Calibri" w:cs="Calibri"/>
        </w:rPr>
        <w:t>. By visualizing attention weights, analysts can identify which specific past clinical events were most influential in the model's prediction for a given patient.</w:t>
      </w:r>
      <w:r w:rsidRPr="001B3460">
        <w:rPr>
          <w:rFonts w:ascii="Calibri" w:eastAsia="Google Sans Text" w:hAnsi="Calibri" w:cs="Calibri"/>
          <w:vertAlign w:val="superscript"/>
        </w:rPr>
        <w:t>6</w:t>
      </w:r>
      <w:r w:rsidRPr="001B3460">
        <w:rPr>
          <w:rFonts w:ascii="Calibri" w:eastAsia="Google Sans Text" w:hAnsi="Calibri" w:cs="Calibri"/>
        </w:rPr>
        <w:t xml:space="preserve"> This provides a degree of transparency into the model's decision-making process. Frameworks like SUFO (Supervised probing, Unsupervised similarity analysis, Feature dynamics, and Outlier analysis) are also being developed to further probe and understand the feature spaces of these fine-tuned transformers.</w:t>
      </w:r>
      <w:r w:rsidRPr="001B3460">
        <w:rPr>
          <w:rFonts w:ascii="Calibri" w:eastAsia="Google Sans Text" w:hAnsi="Calibri" w:cs="Calibri"/>
          <w:vertAlign w:val="superscript"/>
        </w:rPr>
        <w:t>18</w:t>
      </w:r>
    </w:p>
    <w:p w14:paraId="13686FE3" w14:textId="77777777" w:rsidR="00BA42C7" w:rsidRPr="001B3460" w:rsidRDefault="00000000" w:rsidP="001B3460">
      <w:pPr>
        <w:numPr>
          <w:ilvl w:val="0"/>
          <w:numId w:val="13"/>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LLMs:</w:t>
      </w:r>
      <w:r w:rsidRPr="001B3460">
        <w:rPr>
          <w:rFonts w:ascii="Calibri" w:eastAsia="Google Sans Text" w:hAnsi="Calibri" w:cs="Calibri"/>
        </w:rPr>
        <w:t xml:space="preserve"> These models are fundamentally less interpretable. The process by which an LLM generates a specific sequence of words is a high-dimensional, non-linear function that is currently an unsolved problem to explain fully.</w:t>
      </w:r>
      <w:r w:rsidRPr="001B3460">
        <w:rPr>
          <w:rFonts w:ascii="Calibri" w:eastAsia="Google Sans Text" w:hAnsi="Calibri" w:cs="Calibri"/>
          <w:vertAlign w:val="superscript"/>
        </w:rPr>
        <w:t>41</w:t>
      </w:r>
      <w:r w:rsidRPr="001B3460">
        <w:rPr>
          <w:rFonts w:ascii="Calibri" w:eastAsia="Google Sans Text" w:hAnsi="Calibri" w:cs="Calibri"/>
        </w:rPr>
        <w:t xml:space="preserve"> The model's reasoning is opaque. While the RAG framework provides some traceability by showing the retrieved context that was used to generate an answer, the LLM's internal process of synthesizing that context remains a black box. This makes it difficult to diagnose errors or build deep clinical trust.</w:t>
      </w:r>
    </w:p>
    <w:p w14:paraId="28992086"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2118319C" w14:textId="54BE6BD4"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4.4. Robustness and Failure Modes</w:t>
      </w:r>
    </w:p>
    <w:p w14:paraId="3833F4B4"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 way a system fails is as important as how it succeeds.</w:t>
      </w:r>
    </w:p>
    <w:p w14:paraId="3C3F7EB9" w14:textId="77777777" w:rsidR="00BA42C7" w:rsidRPr="001B3460" w:rsidRDefault="00000000" w:rsidP="001B3460">
      <w:pPr>
        <w:numPr>
          <w:ilvl w:val="0"/>
          <w:numId w:val="14"/>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Encoders:</w:t>
      </w:r>
      <w:r w:rsidRPr="001B3460">
        <w:rPr>
          <w:rFonts w:ascii="Calibri" w:eastAsia="Google Sans Text" w:hAnsi="Calibri" w:cs="Calibri"/>
        </w:rPr>
        <w:t xml:space="preserve"> The primary failure mode of an encoder model is </w:t>
      </w:r>
      <w:r w:rsidRPr="001B3460">
        <w:rPr>
          <w:rFonts w:ascii="Calibri" w:eastAsia="Google Sans Text" w:hAnsi="Calibri" w:cs="Calibri"/>
          <w:b/>
        </w:rPr>
        <w:t>brittle failure</w:t>
      </w:r>
      <w:r w:rsidRPr="001B3460">
        <w:rPr>
          <w:rFonts w:ascii="Calibri" w:eastAsia="Google Sans Text" w:hAnsi="Calibri" w:cs="Calibri"/>
        </w:rPr>
        <w:t>. Because it is trained on the specific statistical patterns of a given dataset, its performance can degrade sharply and unexpectedly when it encounters data from a different environment (e.g., another hospital with different coding practices) or when those patterns shift over time.</w:t>
      </w:r>
      <w:r w:rsidRPr="001B3460">
        <w:rPr>
          <w:rFonts w:ascii="Calibri" w:eastAsia="Google Sans Text" w:hAnsi="Calibri" w:cs="Calibri"/>
          <w:vertAlign w:val="superscript"/>
        </w:rPr>
        <w:t>9</w:t>
      </w:r>
      <w:r w:rsidRPr="001B3460">
        <w:rPr>
          <w:rFonts w:ascii="Calibri" w:eastAsia="Google Sans Text" w:hAnsi="Calibri" w:cs="Calibri"/>
        </w:rPr>
        <w:t xml:space="preserve"> This is a classic "garbage-in, garbage-out" scenario, where the model's failure is a direct consequence of poor or mismatched input data.</w:t>
      </w:r>
    </w:p>
    <w:p w14:paraId="6AED572C" w14:textId="77777777" w:rsidR="00BA42C7" w:rsidRPr="001B3460" w:rsidRDefault="00000000" w:rsidP="001B3460">
      <w:pPr>
        <w:numPr>
          <w:ilvl w:val="0"/>
          <w:numId w:val="14"/>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LLMs:</w:t>
      </w:r>
      <w:r w:rsidRPr="001B3460">
        <w:rPr>
          <w:rFonts w:ascii="Calibri" w:eastAsia="Google Sans Text" w:hAnsi="Calibri" w:cs="Calibri"/>
        </w:rPr>
        <w:t xml:space="preserve"> The primary failure mode of an LLM is </w:t>
      </w:r>
      <w:r w:rsidRPr="001B3460">
        <w:rPr>
          <w:rFonts w:ascii="Calibri" w:eastAsia="Google Sans Text" w:hAnsi="Calibri" w:cs="Calibri"/>
          <w:b/>
        </w:rPr>
        <w:t>plausible fabrication</w:t>
      </w:r>
      <w:r w:rsidRPr="001B3460">
        <w:rPr>
          <w:rFonts w:ascii="Calibri" w:eastAsia="Google Sans Text" w:hAnsi="Calibri" w:cs="Calibri"/>
        </w:rPr>
        <w:t>. The model can fail silently and confidently, producing an output that is grammatically correct, stylistically appropriate, and entirely false.</w:t>
      </w:r>
      <w:r w:rsidRPr="001B3460">
        <w:rPr>
          <w:rFonts w:ascii="Calibri" w:eastAsia="Google Sans Text" w:hAnsi="Calibri" w:cs="Calibri"/>
          <w:vertAlign w:val="superscript"/>
        </w:rPr>
        <w:t>11</w:t>
      </w:r>
      <w:r w:rsidRPr="001B3460">
        <w:rPr>
          <w:rFonts w:ascii="Calibri" w:eastAsia="Google Sans Text" w:hAnsi="Calibri" w:cs="Calibri"/>
        </w:rPr>
        <w:t xml:space="preserve"> This failure mode is arguably far more dangerous in a clinical context than the brittle failure of an encoder. A brittle model might produce a nonsensical output or a prediction with very low confidence, signaling an error to the user. An LLM's plausible falsehood, however, may be accepted as fact by a non-expert or a busy clinician, with potentially severe consequences.</w:t>
      </w:r>
    </w:p>
    <w:p w14:paraId="2E361644"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7CD463A2" w14:textId="283B874C"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4.5. Potential for Causal Inference</w:t>
      </w:r>
    </w:p>
    <w:p w14:paraId="7AFF3728"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As argued previously, the ability to perform causal inference is a prerequisite for a true digital twin.</w:t>
      </w:r>
    </w:p>
    <w:p w14:paraId="2BF3FCBB" w14:textId="77777777" w:rsidR="00BA42C7" w:rsidRPr="001B3460" w:rsidRDefault="00000000" w:rsidP="001B3460">
      <w:pPr>
        <w:numPr>
          <w:ilvl w:val="0"/>
          <w:numId w:val="15"/>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Encoders:</w:t>
      </w:r>
      <w:r w:rsidRPr="001B3460">
        <w:rPr>
          <w:rFonts w:ascii="Calibri" w:eastAsia="Google Sans Text" w:hAnsi="Calibri" w:cs="Calibri"/>
        </w:rPr>
        <w:t xml:space="preserve"> The structured, sequential nature of the data representation used by encoders is more amenable to integration with formal causal inference frameworks. The patient embedding vector can serve as the high-dimensional set of pre-treatment covariates (X) that needs to be adjusted for when estimating the effect of a treatment (A) on an outcome (Y).</w:t>
      </w:r>
      <w:r w:rsidRPr="001B3460">
        <w:rPr>
          <w:rFonts w:ascii="Calibri" w:eastAsia="Google Sans Text" w:hAnsi="Calibri" w:cs="Calibri"/>
          <w:vertAlign w:val="superscript"/>
        </w:rPr>
        <w:t>16</w:t>
      </w:r>
      <w:r w:rsidRPr="001B3460">
        <w:rPr>
          <w:rFonts w:ascii="Calibri" w:eastAsia="Google Sans Text" w:hAnsi="Calibri" w:cs="Calibri"/>
        </w:rPr>
        <w:t xml:space="preserve"> The explicit temporal structure allows for the careful modeling of time-varying confounders, a critical requirement for avoiding biases like immortal time bias.</w:t>
      </w:r>
    </w:p>
    <w:p w14:paraId="4A336DDF" w14:textId="77777777" w:rsidR="00BA42C7" w:rsidRPr="001B3460" w:rsidRDefault="00000000" w:rsidP="001B3460">
      <w:pPr>
        <w:numPr>
          <w:ilvl w:val="0"/>
          <w:numId w:val="15"/>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LLMs:</w:t>
      </w:r>
      <w:r w:rsidRPr="001B3460">
        <w:rPr>
          <w:rFonts w:ascii="Calibri" w:eastAsia="Google Sans Text" w:hAnsi="Calibri" w:cs="Calibri"/>
        </w:rPr>
        <w:t xml:space="preserve"> Performing direct causal inference with an LLM is significantly more challenging. It is difficult to formalize the LLM's internal state and processing in a way that satisfies the stringent mathematical assumptions of causal models (e.g., unconfoundedness, positivity). The model may have implicitly learned countless confounding relationships from its vast, unstructured training data in a way that is impossible to identify, measure, or disentangle, making it a methodologically unsound tool for estimating causal effects without significant architectural and theoretical advances.</w:t>
      </w:r>
    </w:p>
    <w:p w14:paraId="320AD8FB"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0A0383AF" w14:textId="0EC23BF0"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Table 4.1: Comparative Analysis of Encoder-Retrieval vs. Direct LLM Retrieval Paradigms</w:t>
      </w:r>
    </w:p>
    <w:tbl>
      <w:tblPr>
        <w:tblStyle w:val="PlainTable2"/>
        <w:tblW w:w="5000" w:type="pct"/>
        <w:tblLook w:val="0600" w:firstRow="0" w:lastRow="0" w:firstColumn="0" w:lastColumn="0" w:noHBand="1" w:noVBand="1"/>
      </w:tblPr>
      <w:tblGrid>
        <w:gridCol w:w="2156"/>
        <w:gridCol w:w="3605"/>
        <w:gridCol w:w="5039"/>
      </w:tblGrid>
      <w:tr w:rsidR="00BA42C7" w:rsidRPr="001B3460" w14:paraId="1A9C0E91" w14:textId="77777777" w:rsidTr="001D08AB">
        <w:tc>
          <w:tcPr>
            <w:tcW w:w="998" w:type="pct"/>
          </w:tcPr>
          <w:p w14:paraId="43DF74C4"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Feature Dimension</w:t>
            </w:r>
          </w:p>
        </w:tc>
        <w:tc>
          <w:tcPr>
            <w:tcW w:w="1669" w:type="pct"/>
          </w:tcPr>
          <w:p w14:paraId="6E8F52C6"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Encoder-Retrieval Paradigm</w:t>
            </w:r>
          </w:p>
        </w:tc>
        <w:tc>
          <w:tcPr>
            <w:tcW w:w="2333" w:type="pct"/>
          </w:tcPr>
          <w:p w14:paraId="0B677264"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Direct LLM Retrieval Paradigm</w:t>
            </w:r>
          </w:p>
        </w:tc>
      </w:tr>
      <w:tr w:rsidR="00BA42C7" w:rsidRPr="001B3460" w14:paraId="36ABF066" w14:textId="77777777" w:rsidTr="001D08AB">
        <w:tc>
          <w:tcPr>
            <w:tcW w:w="998" w:type="pct"/>
          </w:tcPr>
          <w:p w14:paraId="6FE798E7"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t>Data Fidelity</w:t>
            </w:r>
          </w:p>
        </w:tc>
        <w:tc>
          <w:tcPr>
            <w:tcW w:w="1669" w:type="pct"/>
          </w:tcPr>
          <w:p w14:paraId="22E1DA05"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High fidelity to the structured EHR record, but potentially low fidelity to the patient's true clinical state due to data quality issues.</w:t>
            </w:r>
            <w:r w:rsidRPr="001B3460">
              <w:rPr>
                <w:rFonts w:ascii="Calibri" w:eastAsia="Google Sans Text" w:hAnsi="Calibri" w:cs="Calibri"/>
                <w:vertAlign w:val="superscript"/>
              </w:rPr>
              <w:t>7</w:t>
            </w:r>
          </w:p>
        </w:tc>
        <w:tc>
          <w:tcPr>
            <w:tcW w:w="2333" w:type="pct"/>
          </w:tcPr>
          <w:p w14:paraId="4D75AE48"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Potentially higher fidelity to the patient's true state by accessing unstructured text, but the output is a generated interpretation, not a direct representation, risking fabrication.</w:t>
            </w:r>
            <w:r w:rsidRPr="001B3460">
              <w:rPr>
                <w:rFonts w:ascii="Calibri" w:eastAsia="Google Sans Text" w:hAnsi="Calibri" w:cs="Calibri"/>
                <w:vertAlign w:val="superscript"/>
              </w:rPr>
              <w:t>8</w:t>
            </w:r>
          </w:p>
        </w:tc>
      </w:tr>
      <w:tr w:rsidR="00BA42C7" w:rsidRPr="001B3460" w14:paraId="4C926C36" w14:textId="77777777" w:rsidTr="001D08AB">
        <w:tc>
          <w:tcPr>
            <w:tcW w:w="998" w:type="pct"/>
          </w:tcPr>
          <w:p w14:paraId="7D3256A3"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t>Training &amp; Deployment</w:t>
            </w:r>
          </w:p>
        </w:tc>
        <w:tc>
          <w:tcPr>
            <w:tcW w:w="1669" w:type="pct"/>
          </w:tcPr>
          <w:p w14:paraId="0F32A666"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Requires massive, domain-specific pre-training (one-time cost), followed by efficient fine-tuning. Deployment is self-hosted.</w:t>
            </w:r>
            <w:r w:rsidRPr="001B3460">
              <w:rPr>
                <w:rFonts w:ascii="Calibri" w:eastAsia="Google Sans Text" w:hAnsi="Calibri" w:cs="Calibri"/>
                <w:vertAlign w:val="superscript"/>
              </w:rPr>
              <w:t>34</w:t>
            </w:r>
          </w:p>
        </w:tc>
        <w:tc>
          <w:tcPr>
            <w:tcW w:w="2333" w:type="pct"/>
          </w:tcPr>
          <w:p w14:paraId="25266236"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Can be used zero-shot (no training) or fine-tuned. Often deployed via third-party APIs, raising privacy, cost, and dependency issues.</w:t>
            </w:r>
            <w:r w:rsidRPr="001B3460">
              <w:rPr>
                <w:rFonts w:ascii="Calibri" w:eastAsia="Google Sans Text" w:hAnsi="Calibri" w:cs="Calibri"/>
                <w:vertAlign w:val="superscript"/>
              </w:rPr>
              <w:t>36</w:t>
            </w:r>
          </w:p>
        </w:tc>
      </w:tr>
      <w:tr w:rsidR="00BA42C7" w:rsidRPr="001B3460" w14:paraId="6F356B58" w14:textId="77777777" w:rsidTr="001D08AB">
        <w:tc>
          <w:tcPr>
            <w:tcW w:w="998" w:type="pct"/>
          </w:tcPr>
          <w:p w14:paraId="284E2F1B"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t>Interpretability</w:t>
            </w:r>
          </w:p>
        </w:tc>
        <w:tc>
          <w:tcPr>
            <w:tcW w:w="1669" w:type="pct"/>
          </w:tcPr>
          <w:p w14:paraId="5A71F054"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Limited but present. Attention weights can show which input tokens influenced a prediction, providing some traceability.</w:t>
            </w:r>
            <w:r w:rsidRPr="001B3460">
              <w:rPr>
                <w:rFonts w:ascii="Calibri" w:eastAsia="Google Sans Text" w:hAnsi="Calibri" w:cs="Calibri"/>
                <w:vertAlign w:val="superscript"/>
              </w:rPr>
              <w:t>6</w:t>
            </w:r>
          </w:p>
        </w:tc>
        <w:tc>
          <w:tcPr>
            <w:tcW w:w="2333" w:type="pct"/>
          </w:tcPr>
          <w:p w14:paraId="601DB854"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Fundamentally a "black box." Reasoning is opaque. RAG provides context, but the synthesis of that context is not explainable.</w:t>
            </w:r>
            <w:r w:rsidRPr="001B3460">
              <w:rPr>
                <w:rFonts w:ascii="Calibri" w:eastAsia="Google Sans Text" w:hAnsi="Calibri" w:cs="Calibri"/>
                <w:vertAlign w:val="superscript"/>
              </w:rPr>
              <w:t>41</w:t>
            </w:r>
          </w:p>
        </w:tc>
      </w:tr>
      <w:tr w:rsidR="00BA42C7" w:rsidRPr="001B3460" w14:paraId="21832913" w14:textId="77777777" w:rsidTr="001D08AB">
        <w:tc>
          <w:tcPr>
            <w:tcW w:w="998" w:type="pct"/>
          </w:tcPr>
          <w:p w14:paraId="6F640055"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t>Primary Failure Mode</w:t>
            </w:r>
          </w:p>
        </w:tc>
        <w:tc>
          <w:tcPr>
            <w:tcW w:w="1669" w:type="pct"/>
          </w:tcPr>
          <w:p w14:paraId="6A6DB656"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b/>
              </w:rPr>
              <w:t>Brittle Failure:</w:t>
            </w:r>
            <w:r w:rsidRPr="001B3460">
              <w:rPr>
                <w:rFonts w:ascii="Calibri" w:eastAsia="Google Sans Text" w:hAnsi="Calibri" w:cs="Calibri"/>
              </w:rPr>
              <w:t xml:space="preserve"> Performance degrades sharply with shifts in data distribution or poor input quality ("garbage-in, </w:t>
            </w:r>
            <w:r w:rsidRPr="001B3460">
              <w:rPr>
                <w:rFonts w:ascii="Calibri" w:eastAsia="Google Sans Text" w:hAnsi="Calibri" w:cs="Calibri"/>
              </w:rPr>
              <w:lastRenderedPageBreak/>
              <w:t>garbage-out").</w:t>
            </w:r>
            <w:r w:rsidRPr="001B3460">
              <w:rPr>
                <w:rFonts w:ascii="Calibri" w:eastAsia="Google Sans Text" w:hAnsi="Calibri" w:cs="Calibri"/>
                <w:vertAlign w:val="superscript"/>
              </w:rPr>
              <w:t>9</w:t>
            </w:r>
          </w:p>
        </w:tc>
        <w:tc>
          <w:tcPr>
            <w:tcW w:w="2333" w:type="pct"/>
          </w:tcPr>
          <w:p w14:paraId="0DF8EC05"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b/>
              </w:rPr>
              <w:lastRenderedPageBreak/>
              <w:t>Plausible Fabrication:</w:t>
            </w:r>
            <w:r w:rsidRPr="001B3460">
              <w:rPr>
                <w:rFonts w:ascii="Calibri" w:eastAsia="Google Sans Text" w:hAnsi="Calibri" w:cs="Calibri"/>
              </w:rPr>
              <w:t xml:space="preserve"> Fails silently by generating confident but factually incorrect or fabricated </w:t>
            </w:r>
            <w:r w:rsidRPr="001B3460">
              <w:rPr>
                <w:rFonts w:ascii="Calibri" w:eastAsia="Google Sans Text" w:hAnsi="Calibri" w:cs="Calibri"/>
              </w:rPr>
              <w:lastRenderedPageBreak/>
              <w:t>information ("hallucination").</w:t>
            </w:r>
            <w:r w:rsidRPr="001B3460">
              <w:rPr>
                <w:rFonts w:ascii="Calibri" w:eastAsia="Google Sans Text" w:hAnsi="Calibri" w:cs="Calibri"/>
                <w:vertAlign w:val="superscript"/>
              </w:rPr>
              <w:t>11</w:t>
            </w:r>
          </w:p>
        </w:tc>
      </w:tr>
      <w:tr w:rsidR="00BA42C7" w:rsidRPr="001B3460" w14:paraId="352F4461" w14:textId="77777777" w:rsidTr="001D08AB">
        <w:tc>
          <w:tcPr>
            <w:tcW w:w="998" w:type="pct"/>
          </w:tcPr>
          <w:p w14:paraId="3FCB8CA7"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lastRenderedPageBreak/>
              <w:t>Robustness to Data Shifts</w:t>
            </w:r>
          </w:p>
        </w:tc>
        <w:tc>
          <w:tcPr>
            <w:tcW w:w="1669" w:type="pct"/>
          </w:tcPr>
          <w:p w14:paraId="7EDFB8D5"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Low. Highly sensitive to changes in coding practices or patient populations not seen in training data. Prone to learning site-specific artifacts.</w:t>
            </w:r>
            <w:r w:rsidRPr="001B3460">
              <w:rPr>
                <w:rFonts w:ascii="Calibri" w:eastAsia="Google Sans Text" w:hAnsi="Calibri" w:cs="Calibri"/>
                <w:vertAlign w:val="superscript"/>
              </w:rPr>
              <w:t>9</w:t>
            </w:r>
          </w:p>
        </w:tc>
        <w:tc>
          <w:tcPr>
            <w:tcW w:w="2333" w:type="pct"/>
          </w:tcPr>
          <w:p w14:paraId="67C2BF3C"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Potentially higher due to broad pre-training, but performance is inconsistent and reliability is not guaranteed. Can exhibit demographic biases.</w:t>
            </w:r>
            <w:r w:rsidRPr="001B3460">
              <w:rPr>
                <w:rFonts w:ascii="Calibri" w:eastAsia="Google Sans Text" w:hAnsi="Calibri" w:cs="Calibri"/>
                <w:vertAlign w:val="superscript"/>
              </w:rPr>
              <w:t>38</w:t>
            </w:r>
          </w:p>
        </w:tc>
      </w:tr>
      <w:tr w:rsidR="00BA42C7" w:rsidRPr="001B3460" w14:paraId="580B009C" w14:textId="77777777" w:rsidTr="001D08AB">
        <w:tc>
          <w:tcPr>
            <w:tcW w:w="998" w:type="pct"/>
          </w:tcPr>
          <w:p w14:paraId="715F0012"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t>Potential for Causal Inference</w:t>
            </w:r>
          </w:p>
        </w:tc>
        <w:tc>
          <w:tcPr>
            <w:tcW w:w="1669" w:type="pct"/>
          </w:tcPr>
          <w:p w14:paraId="6492B3A3"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Higher. The structured, temporal representation is more amenable to integration with formal causal frameworks for estimating treatment effects.</w:t>
            </w:r>
            <w:r w:rsidRPr="001B3460">
              <w:rPr>
                <w:rFonts w:ascii="Calibri" w:eastAsia="Google Sans Text" w:hAnsi="Calibri" w:cs="Calibri"/>
                <w:vertAlign w:val="superscript"/>
              </w:rPr>
              <w:t>16</w:t>
            </w:r>
          </w:p>
        </w:tc>
        <w:tc>
          <w:tcPr>
            <w:tcW w:w="2333" w:type="pct"/>
          </w:tcPr>
          <w:p w14:paraId="6B027337"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Low. Difficult to formalize the model's processing to satisfy causal assumptions. Prone to learning unidentifiable confounding from training data.</w:t>
            </w:r>
          </w:p>
        </w:tc>
      </w:tr>
      <w:tr w:rsidR="00BA42C7" w:rsidRPr="001B3460" w14:paraId="080EC1F8" w14:textId="77777777" w:rsidTr="001D08AB">
        <w:tc>
          <w:tcPr>
            <w:tcW w:w="998" w:type="pct"/>
          </w:tcPr>
          <w:p w14:paraId="392355C9"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t>Patient Safety Profile</w:t>
            </w:r>
          </w:p>
        </w:tc>
        <w:tc>
          <w:tcPr>
            <w:tcW w:w="1669" w:type="pct"/>
          </w:tcPr>
          <w:p w14:paraId="1B9ED631"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Risks stem from acting on predictions from a model that has learned spurious correlations or is based on incomplete data. Failures can be catastrophic but may be detectable.</w:t>
            </w:r>
          </w:p>
        </w:tc>
        <w:tc>
          <w:tcPr>
            <w:tcW w:w="2333" w:type="pct"/>
          </w:tcPr>
          <w:p w14:paraId="378BC4EE"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Risks stem from acting on plausible but false information. Failures are insidious and difficult to detect without expert verification, posing a significant safety threat.</w:t>
            </w:r>
          </w:p>
        </w:tc>
      </w:tr>
    </w:tbl>
    <w:p w14:paraId="393402F6"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2B5E6743" w14:textId="51003275" w:rsidR="00BA42C7" w:rsidRPr="001B3460" w:rsidRDefault="00000000" w:rsidP="001D08AB">
      <w:pPr>
        <w:pStyle w:val="Heading2"/>
        <w:spacing w:before="0" w:after="120"/>
        <w:rPr>
          <w:rFonts w:ascii="Calibri" w:eastAsia="Google Sans" w:hAnsi="Calibri" w:cs="Calibri"/>
          <w:sz w:val="22"/>
          <w:szCs w:val="22"/>
        </w:rPr>
      </w:pPr>
      <w:r w:rsidRPr="001B3460">
        <w:rPr>
          <w:rFonts w:ascii="Calibri" w:eastAsia="Google Sans" w:hAnsi="Calibri" w:cs="Calibri"/>
          <w:sz w:val="22"/>
          <w:szCs w:val="22"/>
        </w:rPr>
        <w:t>V. A Roadmap Toward Robust and Generalizable Systems</w:t>
      </w:r>
    </w:p>
    <w:p w14:paraId="5FAC4729"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 analysis of the Encoder-Retrieval and Direct LLM paradigms reveals that neither approach, in its current form, is sufficient to create the safe, reliable, and clinically useful psychiatric digital twins that the field envisions. Progress requires moving beyond a narrow focus on predictive accuracy and addressing a set of deeper, interconnected scientific challenges. This section outlines these challenges and proposes a strategic roadmap for developing more robust and generalizable systems.</w:t>
      </w:r>
    </w:p>
    <w:p w14:paraId="6F32D738"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5C6B31F3" w14:textId="0F9C99E9"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5.1. The Interconnected Challenges: Interpretability, Causality, and Generalizability</w:t>
      </w:r>
    </w:p>
    <w:p w14:paraId="17683084"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 primary obstacles to the clinical translation of these advanced models are not independent issues but form a cascade of dependencies. A failure at one stage inevitably leads to failure at the next, creating a "causal chain of failure" that must be addressed systematically.</w:t>
      </w:r>
    </w:p>
    <w:p w14:paraId="1319E763" w14:textId="77777777" w:rsidR="00BA42C7" w:rsidRPr="001B3460" w:rsidRDefault="00000000" w:rsidP="001B3460">
      <w:pPr>
        <w:numPr>
          <w:ilvl w:val="0"/>
          <w:numId w:val="16"/>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The Foundation: Interpretability.</w:t>
      </w:r>
      <w:r w:rsidRPr="001B3460">
        <w:rPr>
          <w:rFonts w:ascii="Calibri" w:eastAsia="Google Sans Text" w:hAnsi="Calibri" w:cs="Calibri"/>
        </w:rPr>
        <w:t xml:space="preserve"> The process begins with the need for interpretability. If a model operates as an unexplainable "black box," it is impossible for clinicians or researchers to understand </w:t>
      </w:r>
      <w:r w:rsidRPr="001B3460">
        <w:rPr>
          <w:rFonts w:ascii="Calibri" w:eastAsia="Google Sans Text" w:hAnsi="Calibri" w:cs="Calibri"/>
          <w:i/>
        </w:rPr>
        <w:t>how</w:t>
      </w:r>
      <w:r w:rsidRPr="001B3460">
        <w:rPr>
          <w:rFonts w:ascii="Calibri" w:eastAsia="Google Sans Text" w:hAnsi="Calibri" w:cs="Calibri"/>
        </w:rPr>
        <w:t xml:space="preserve"> it arrives at a particular prediction or recommendation.</w:t>
      </w:r>
      <w:r w:rsidRPr="001B3460">
        <w:rPr>
          <w:rFonts w:ascii="Calibri" w:eastAsia="Google Sans Text" w:hAnsi="Calibri" w:cs="Calibri"/>
          <w:vertAlign w:val="superscript"/>
        </w:rPr>
        <w:t>18</w:t>
      </w:r>
      <w:r w:rsidRPr="001B3460">
        <w:rPr>
          <w:rFonts w:ascii="Calibri" w:eastAsia="Google Sans Text" w:hAnsi="Calibri" w:cs="Calibri"/>
        </w:rPr>
        <w:t xml:space="preserve"> While simple attention maps in transformers offer a starting point, they are often context-dependent and can be misleading, necessitating more advanced, purpose-built interpretability methods.</w:t>
      </w:r>
      <w:r w:rsidRPr="001B3460">
        <w:rPr>
          <w:rFonts w:ascii="Calibri" w:eastAsia="Google Sans Text" w:hAnsi="Calibri" w:cs="Calibri"/>
          <w:vertAlign w:val="superscript"/>
        </w:rPr>
        <w:t>46</w:t>
      </w:r>
      <w:r w:rsidRPr="001B3460">
        <w:rPr>
          <w:rFonts w:ascii="Calibri" w:eastAsia="Google Sans Text" w:hAnsi="Calibri" w:cs="Calibri"/>
        </w:rPr>
        <w:t xml:space="preserve"> Without a clear window into the model's internal logic, building trust is impossible.</w:t>
      </w:r>
    </w:p>
    <w:p w14:paraId="63CE739D" w14:textId="77777777" w:rsidR="00BA42C7" w:rsidRPr="001B3460" w:rsidRDefault="00000000" w:rsidP="001B3460">
      <w:pPr>
        <w:numPr>
          <w:ilvl w:val="0"/>
          <w:numId w:val="16"/>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The Link: Causality.</w:t>
      </w:r>
      <w:r w:rsidRPr="001B3460">
        <w:rPr>
          <w:rFonts w:ascii="Calibri" w:eastAsia="Google Sans Text" w:hAnsi="Calibri" w:cs="Calibri"/>
        </w:rPr>
        <w:t xml:space="preserve"> This lack of interpretability directly prevents the verification of causality. The central danger of applying machine learning to observational EHR data is that the model will learn spurious correlations instead of true causal relationships.</w:t>
      </w:r>
      <w:r w:rsidRPr="001B3460">
        <w:rPr>
          <w:rFonts w:ascii="Calibri" w:eastAsia="Google Sans Text" w:hAnsi="Calibri" w:cs="Calibri"/>
          <w:vertAlign w:val="superscript"/>
        </w:rPr>
        <w:t>16</w:t>
      </w:r>
      <w:r w:rsidRPr="001B3460">
        <w:rPr>
          <w:rFonts w:ascii="Calibri" w:eastAsia="Google Sans Text" w:hAnsi="Calibri" w:cs="Calibri"/>
        </w:rPr>
        <w:t xml:space="preserve"> An interpretable model allows an analyst to probe its reasoning and ask critical questions: "Did the model predict a good outcome because the drug is effective, or because the drug is only given to healthier patients?" If the model's internal workings cannot be inspected, one cannot be confident that it has learned a valid causal model of the disease rather than a set of circumstantial shortcuts.</w:t>
      </w:r>
    </w:p>
    <w:p w14:paraId="02364626" w14:textId="77777777" w:rsidR="00BA42C7" w:rsidRPr="001B3460" w:rsidRDefault="00000000" w:rsidP="001B3460">
      <w:pPr>
        <w:numPr>
          <w:ilvl w:val="0"/>
          <w:numId w:val="16"/>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The Outcome: Generalizability.</w:t>
      </w:r>
      <w:r w:rsidRPr="001B3460">
        <w:rPr>
          <w:rFonts w:ascii="Calibri" w:eastAsia="Google Sans Text" w:hAnsi="Calibri" w:cs="Calibri"/>
        </w:rPr>
        <w:t xml:space="preserve"> A model that has not learned causal relationships will inevitably fail to generalize to new environments.</w:t>
      </w:r>
      <w:r w:rsidRPr="001B3460">
        <w:rPr>
          <w:rFonts w:ascii="Calibri" w:eastAsia="Google Sans Text" w:hAnsi="Calibri" w:cs="Calibri"/>
          <w:vertAlign w:val="superscript"/>
        </w:rPr>
        <w:t>9</w:t>
      </w:r>
      <w:r w:rsidRPr="001B3460">
        <w:rPr>
          <w:rFonts w:ascii="Calibri" w:eastAsia="Google Sans Text" w:hAnsi="Calibri" w:cs="Calibri"/>
        </w:rPr>
        <w:t xml:space="preserve"> A model that learns a spurious correlation specific to one hospital's billing practices will see its performance collapse when deployed at a second hospital where those practices differ. Robust generalizability—the ability of a model to perform well on new, unseen data from different populations and settings—is the ultimate benchmark of clinical utility. This property, often referred to as external validity or conceptual reproducibility, can only be achieved if the model has captured the underlying, transportable mechanisms of the disease, which are causal in nature.</w:t>
      </w:r>
      <w:r w:rsidRPr="001B3460">
        <w:rPr>
          <w:rFonts w:ascii="Calibri" w:eastAsia="Google Sans Text" w:hAnsi="Calibri" w:cs="Calibri"/>
          <w:vertAlign w:val="superscript"/>
        </w:rPr>
        <w:t>19</w:t>
      </w:r>
    </w:p>
    <w:p w14:paraId="772DD9CC"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This logical dependency—Effective Interpretability → Verifiable Causality → Robust Generalizability—forms the central </w:t>
      </w:r>
      <w:r w:rsidRPr="001B3460">
        <w:rPr>
          <w:rFonts w:ascii="Calibri" w:eastAsia="Google Sans Text" w:hAnsi="Calibri" w:cs="Calibri"/>
        </w:rPr>
        <w:lastRenderedPageBreak/>
        <w:t>challenge for clinical AI. Efforts to improve generalizability simply by training on larger and more diverse datasets, without first ensuring that the model is learning the right things for the right reasons (via interpretability and causal methods), are likely to yield only marginal gains and may even mask underlying flaws. The field must pivot from optimizing opaque models to developing inherently transparent and causally-grounded architectures.</w:t>
      </w:r>
    </w:p>
    <w:p w14:paraId="35095794"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1DDC55F2" w14:textId="05C9263D"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5.2. Strategies for Enhancing Model Robustness</w:t>
      </w:r>
    </w:p>
    <w:p w14:paraId="28D9F204"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Addressing this causal chain of failure requires a multi-pronged strategy focused on improving generalizability, interpretability, and the integration of causal inference methods.</w:t>
      </w:r>
    </w:p>
    <w:p w14:paraId="4C2659C5" w14:textId="135D6E06" w:rsidR="00BA42C7" w:rsidRPr="001B3460" w:rsidRDefault="00000000" w:rsidP="001B3460">
      <w:pPr>
        <w:numPr>
          <w:ilvl w:val="0"/>
          <w:numId w:val="17"/>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Improving Generalizability:</w:t>
      </w:r>
      <w:r w:rsidRPr="001B3460">
        <w:rPr>
          <w:rFonts w:ascii="Calibri" w:eastAsia="Google Sans Text" w:hAnsi="Calibri" w:cs="Calibri"/>
        </w:rPr>
        <w:t xml:space="preserve"> The reliance on single-site studies is a major limitation. To overcome this, the field must embrace multi-institutional collaboration. </w:t>
      </w:r>
      <w:r w:rsidRPr="001B3460">
        <w:rPr>
          <w:rFonts w:ascii="Calibri" w:eastAsia="Google Sans Text" w:hAnsi="Calibri" w:cs="Calibri"/>
          <w:b/>
        </w:rPr>
        <w:t>Federated learning</w:t>
      </w:r>
      <w:r w:rsidRPr="001B3460">
        <w:rPr>
          <w:rFonts w:ascii="Calibri" w:eastAsia="Google Sans Text" w:hAnsi="Calibri" w:cs="Calibri"/>
        </w:rPr>
        <w:t xml:space="preserve"> provides a powerful technological solution, allowing models to be trained across multiple hospitals without the need to centralize or share sensitive patient data, thus preserving privacy while creating more robust models.</w:t>
      </w:r>
      <w:r w:rsidRPr="001B3460">
        <w:rPr>
          <w:rFonts w:ascii="Calibri" w:eastAsia="Google Sans Text" w:hAnsi="Calibri" w:cs="Calibri"/>
          <w:vertAlign w:val="superscript"/>
        </w:rPr>
        <w:t>19</w:t>
      </w:r>
      <w:r w:rsidRPr="001B3460">
        <w:rPr>
          <w:rFonts w:ascii="Calibri" w:eastAsia="Google Sans Text" w:hAnsi="Calibri" w:cs="Calibri"/>
        </w:rPr>
        <w:t xml:space="preserve"> Furthermore, evaluation protocols must become more rigorous. It is essential to systematically test models on</w:t>
      </w:r>
      <w:r w:rsidR="001D08AB">
        <w:rPr>
          <w:rFonts w:ascii="Calibri" w:hAnsi="Calibri" w:cs="Calibri"/>
          <w:color w:val="000000"/>
        </w:rPr>
        <w:t xml:space="preserve"> </w:t>
      </w:r>
      <w:r w:rsidRPr="001B3460">
        <w:rPr>
          <w:rFonts w:ascii="Calibri" w:eastAsia="Google Sans Text" w:hAnsi="Calibri" w:cs="Calibri"/>
          <w:b/>
        </w:rPr>
        <w:t>external, out-of-time datasets</w:t>
      </w:r>
      <w:r w:rsidRPr="001B3460">
        <w:rPr>
          <w:rFonts w:ascii="Calibri" w:eastAsia="Google Sans Text" w:hAnsi="Calibri" w:cs="Calibri"/>
        </w:rPr>
        <w:t xml:space="preserve"> to assess their robustness to the temporal shifts in clinical practice and patient populations that occur in the real world.</w:t>
      </w:r>
      <w:r w:rsidRPr="001B3460">
        <w:rPr>
          <w:rFonts w:ascii="Calibri" w:eastAsia="Google Sans Text" w:hAnsi="Calibri" w:cs="Calibri"/>
          <w:vertAlign w:val="superscript"/>
        </w:rPr>
        <w:t>34</w:t>
      </w:r>
    </w:p>
    <w:p w14:paraId="764EBDFE" w14:textId="3477D08A" w:rsidR="00BA42C7" w:rsidRPr="001B3460" w:rsidRDefault="00000000" w:rsidP="001B3460">
      <w:pPr>
        <w:numPr>
          <w:ilvl w:val="0"/>
          <w:numId w:val="17"/>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Improving Interpretability:</w:t>
      </w:r>
      <w:r w:rsidRPr="001B3460">
        <w:rPr>
          <w:rFonts w:ascii="Calibri" w:eastAsia="Google Sans Text" w:hAnsi="Calibri" w:cs="Calibri"/>
        </w:rPr>
        <w:t xml:space="preserve"> The development and validation of transformer-specific interpretability methods must become a research priority. This means moving beyond simple attention-weight visualizations, which can be insufficient for complex medical decision-making.</w:t>
      </w:r>
      <w:r w:rsidRPr="001B3460">
        <w:rPr>
          <w:rFonts w:ascii="Calibri" w:eastAsia="Google Sans Text" w:hAnsi="Calibri" w:cs="Calibri"/>
          <w:vertAlign w:val="superscript"/>
        </w:rPr>
        <w:t>46</w:t>
      </w:r>
      <w:r w:rsidRPr="001B3460">
        <w:rPr>
          <w:rFonts w:ascii="Calibri" w:eastAsia="Google Sans Text" w:hAnsi="Calibri" w:cs="Calibri"/>
        </w:rPr>
        <w:t xml:space="preserve"> Research into novel interpretable self-attention mechanisms and prototype learning paradigms shows promise for building models that are more transparent by design.</w:t>
      </w:r>
      <w:r w:rsidRPr="001B3460">
        <w:rPr>
          <w:rFonts w:ascii="Calibri" w:eastAsia="Google Sans Text" w:hAnsi="Calibri" w:cs="Calibri"/>
          <w:vertAlign w:val="superscript"/>
        </w:rPr>
        <w:t>45</w:t>
      </w:r>
      <w:r w:rsidRPr="001B3460">
        <w:rPr>
          <w:rFonts w:ascii="Calibri" w:eastAsia="Google Sans Text" w:hAnsi="Calibri" w:cs="Calibri"/>
        </w:rPr>
        <w:t xml:space="preserve"> Systematic frameworks like</w:t>
      </w:r>
      <w:r w:rsidR="001D08AB">
        <w:rPr>
          <w:rFonts w:ascii="Calibri" w:hAnsi="Calibri" w:cs="Calibri"/>
          <w:color w:val="000000"/>
        </w:rPr>
        <w:t xml:space="preserve"> </w:t>
      </w:r>
      <w:r w:rsidRPr="001B3460">
        <w:rPr>
          <w:rFonts w:ascii="Calibri" w:eastAsia="Google Sans Text" w:hAnsi="Calibri" w:cs="Calibri"/>
          <w:b/>
        </w:rPr>
        <w:t>SUFO</w:t>
      </w:r>
      <w:r w:rsidRPr="001B3460">
        <w:rPr>
          <w:rFonts w:ascii="Calibri" w:eastAsia="Google Sans Text" w:hAnsi="Calibri" w:cs="Calibri"/>
        </w:rPr>
        <w:t xml:space="preserve"> can be used during the development process to analyze the feature spaces of fine-tuned models, helping to identify issues like overfitting and enhance trust in the model's behavior.</w:t>
      </w:r>
      <w:r w:rsidRPr="001B3460">
        <w:rPr>
          <w:rFonts w:ascii="Calibri" w:eastAsia="Google Sans Text" w:hAnsi="Calibri" w:cs="Calibri"/>
          <w:vertAlign w:val="superscript"/>
        </w:rPr>
        <w:t>18</w:t>
      </w:r>
    </w:p>
    <w:p w14:paraId="45DBBAE6" w14:textId="472C32B6" w:rsidR="00BA42C7" w:rsidRPr="001B3460" w:rsidRDefault="00000000" w:rsidP="001B3460">
      <w:pPr>
        <w:numPr>
          <w:ilvl w:val="0"/>
          <w:numId w:val="17"/>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Integrating Causal Inference:</w:t>
      </w:r>
      <w:r w:rsidRPr="001B3460">
        <w:rPr>
          <w:rFonts w:ascii="Calibri" w:eastAsia="Google Sans Text" w:hAnsi="Calibri" w:cs="Calibri"/>
        </w:rPr>
        <w:t xml:space="preserve"> Causal thinking must be integrated into the very beginning of the research lifecycle. All studies using observational EHR data to inform clinical decisions should be designed with an explicit </w:t>
      </w:r>
      <w:r w:rsidRPr="001B3460">
        <w:rPr>
          <w:rFonts w:ascii="Calibri" w:eastAsia="Google Sans Text" w:hAnsi="Calibri" w:cs="Calibri"/>
          <w:b/>
        </w:rPr>
        <w:t>causal framework</w:t>
      </w:r>
      <w:r w:rsidRPr="001B3460">
        <w:rPr>
          <w:rFonts w:ascii="Calibri" w:eastAsia="Google Sans Text" w:hAnsi="Calibri" w:cs="Calibri"/>
        </w:rPr>
        <w:t>, such as the PICO(T) target trial emulation, to clearly define the question and mitigate bias.</w:t>
      </w:r>
      <w:r w:rsidRPr="001B3460">
        <w:rPr>
          <w:rFonts w:ascii="Calibri" w:eastAsia="Google Sans Text" w:hAnsi="Calibri" w:cs="Calibri"/>
          <w:vertAlign w:val="superscript"/>
        </w:rPr>
        <w:t>16</w:t>
      </w:r>
      <w:r w:rsidRPr="001B3460">
        <w:rPr>
          <w:rFonts w:ascii="Calibri" w:eastAsia="Google Sans Text" w:hAnsi="Calibri" w:cs="Calibri"/>
        </w:rPr>
        <w:t xml:space="preserve"> For the analysis itself, advanced statistical techniques like</w:t>
      </w:r>
      <w:r w:rsidR="001D08AB">
        <w:rPr>
          <w:rFonts w:ascii="Calibri" w:hAnsi="Calibri" w:cs="Calibri"/>
          <w:color w:val="000000"/>
        </w:rPr>
        <w:t xml:space="preserve"> </w:t>
      </w:r>
      <w:r w:rsidRPr="001B3460">
        <w:rPr>
          <w:rFonts w:ascii="Calibri" w:eastAsia="Google Sans Text" w:hAnsi="Calibri" w:cs="Calibri"/>
          <w:b/>
        </w:rPr>
        <w:t>Double Machine Learning (DML)</w:t>
      </w:r>
      <w:r w:rsidRPr="001B3460">
        <w:rPr>
          <w:rFonts w:ascii="Calibri" w:eastAsia="Google Sans Text" w:hAnsi="Calibri" w:cs="Calibri"/>
        </w:rPr>
        <w:t xml:space="preserve"> should be employed to estimate causal treatment effects while adjusting for the high-dimensional confounding inherent in EHR data.</w:t>
      </w:r>
      <w:r w:rsidRPr="001B3460">
        <w:rPr>
          <w:rFonts w:ascii="Calibri" w:eastAsia="Google Sans Text" w:hAnsi="Calibri" w:cs="Calibri"/>
          <w:vertAlign w:val="superscript"/>
        </w:rPr>
        <w:t>32</w:t>
      </w:r>
    </w:p>
    <w:p w14:paraId="199DECB0" w14:textId="77777777" w:rsidR="00BA42C7" w:rsidRPr="001B3460" w:rsidRDefault="00BA42C7" w:rsidP="001B3460">
      <w:pPr>
        <w:pBdr>
          <w:top w:val="nil"/>
          <w:left w:val="nil"/>
          <w:bottom w:val="nil"/>
          <w:right w:val="nil"/>
          <w:between w:val="nil"/>
        </w:pBdr>
        <w:spacing w:after="120"/>
        <w:rPr>
          <w:rFonts w:ascii="Calibri" w:eastAsia="Google Sans Text" w:hAnsi="Calibri" w:cs="Calibri"/>
          <w:vertAlign w:val="superscript"/>
        </w:rPr>
      </w:pPr>
    </w:p>
    <w:p w14:paraId="0F23F29F" w14:textId="05A2397A"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5.3. The Critical Role of Data Synthesis and Augmentation</w:t>
      </w:r>
    </w:p>
    <w:p w14:paraId="711F6DB7"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rPr>
        <w:t>A parallel and complementary strategy for improving model robustness is the use of generative models to create high-quality synthetic data. Technologies such as Generative Adversarial Networks (GANs), Variational Autoencoders (VAEs), Diffusion Models, and LLMs can be trained to learn the statistical distribution of a real EHR dataset and then generate new, artificial patient records.</w:t>
      </w:r>
      <w:r w:rsidRPr="001B3460">
        <w:rPr>
          <w:rFonts w:ascii="Calibri" w:eastAsia="Google Sans Text" w:hAnsi="Calibri" w:cs="Calibri"/>
          <w:vertAlign w:val="superscript"/>
        </w:rPr>
        <w:t>47</w:t>
      </w:r>
    </w:p>
    <w:p w14:paraId="5DC0E8E9"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This approach offers two significant benefits:</w:t>
      </w:r>
    </w:p>
    <w:p w14:paraId="4CB40DFB" w14:textId="77777777" w:rsidR="00BA42C7" w:rsidRPr="001B3460" w:rsidRDefault="00000000" w:rsidP="001B3460">
      <w:pPr>
        <w:numPr>
          <w:ilvl w:val="0"/>
          <w:numId w:val="18"/>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Enhancing Privacy and Reproducibility:</w:t>
      </w:r>
      <w:r w:rsidRPr="001B3460">
        <w:rPr>
          <w:rFonts w:ascii="Calibri" w:eastAsia="Google Sans Text" w:hAnsi="Calibri" w:cs="Calibri"/>
        </w:rPr>
        <w:t xml:space="preserve"> Synthetic data can mimic the properties of real data without containing actual patient information. This provides a powerful solution to the data-sharing problem, allowing researchers to release synthetic datasets and code, which dramatically improves the technical reproducibility and verifiability of their work.</w:t>
      </w:r>
      <w:r w:rsidRPr="001B3460">
        <w:rPr>
          <w:rFonts w:ascii="Calibri" w:eastAsia="Google Sans Text" w:hAnsi="Calibri" w:cs="Calibri"/>
          <w:vertAlign w:val="superscript"/>
        </w:rPr>
        <w:t>48</w:t>
      </w:r>
    </w:p>
    <w:p w14:paraId="32894022" w14:textId="77777777" w:rsidR="00BA42C7" w:rsidRPr="001B3460" w:rsidRDefault="00000000" w:rsidP="001B3460">
      <w:pPr>
        <w:numPr>
          <w:ilvl w:val="0"/>
          <w:numId w:val="18"/>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Improving Model Training through Data Augmentation:</w:t>
      </w:r>
      <w:r w:rsidRPr="001B3460">
        <w:rPr>
          <w:rFonts w:ascii="Calibri" w:eastAsia="Google Sans Text" w:hAnsi="Calibri" w:cs="Calibri"/>
        </w:rPr>
        <w:t xml:space="preserve"> Synthetic data can be used to augment real training datasets. This is particularly useful in situations of data scarcity or severe class imbalance (a common problem in medical datasets). By generating more examples of rare conditions or underrepresented patient groups, synthetic data can help improve the performance and fairness of downstream predictive models.</w:t>
      </w:r>
      <w:r w:rsidRPr="001B3460">
        <w:rPr>
          <w:rFonts w:ascii="Calibri" w:eastAsia="Google Sans Text" w:hAnsi="Calibri" w:cs="Calibri"/>
          <w:vertAlign w:val="superscript"/>
        </w:rPr>
        <w:t>49</w:t>
      </w:r>
    </w:p>
    <w:p w14:paraId="566E2C0C"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However, the use of synthetic data is not without its own challenges. The quality of the generated data must be rigorously evaluated across multiple dimensions, including </w:t>
      </w:r>
      <w:r w:rsidRPr="001B3460">
        <w:rPr>
          <w:rFonts w:ascii="Calibri" w:eastAsia="Google Sans Text" w:hAnsi="Calibri" w:cs="Calibri"/>
          <w:b/>
        </w:rPr>
        <w:t>data realism</w:t>
      </w:r>
      <w:r w:rsidRPr="001B3460">
        <w:rPr>
          <w:rFonts w:ascii="Calibri" w:eastAsia="Google Sans Text" w:hAnsi="Calibri" w:cs="Calibri"/>
        </w:rPr>
        <w:t xml:space="preserve"> (does it resemble the real data?), </w:t>
      </w:r>
      <w:r w:rsidRPr="001B3460">
        <w:rPr>
          <w:rFonts w:ascii="Calibri" w:eastAsia="Google Sans Text" w:hAnsi="Calibri" w:cs="Calibri"/>
          <w:b/>
        </w:rPr>
        <w:t>utility</w:t>
      </w:r>
      <w:r w:rsidRPr="001B3460">
        <w:rPr>
          <w:rFonts w:ascii="Calibri" w:eastAsia="Google Sans Text" w:hAnsi="Calibri" w:cs="Calibri"/>
        </w:rPr>
        <w:t xml:space="preserve"> (does it improve performance on a useful task?), and </w:t>
      </w:r>
      <w:r w:rsidRPr="001B3460">
        <w:rPr>
          <w:rFonts w:ascii="Calibri" w:eastAsia="Google Sans Text" w:hAnsi="Calibri" w:cs="Calibri"/>
          <w:b/>
        </w:rPr>
        <w:t>privacy</w:t>
      </w:r>
      <w:r w:rsidRPr="001B3460">
        <w:rPr>
          <w:rFonts w:ascii="Calibri" w:eastAsia="Google Sans Text" w:hAnsi="Calibri" w:cs="Calibri"/>
        </w:rPr>
        <w:t xml:space="preserve"> (can real patients be re-identified from it?).</w:t>
      </w:r>
      <w:r w:rsidRPr="001B3460">
        <w:rPr>
          <w:rFonts w:ascii="Calibri" w:eastAsia="Google Sans Text" w:hAnsi="Calibri" w:cs="Calibri"/>
          <w:vertAlign w:val="superscript"/>
        </w:rPr>
        <w:t>49</w:t>
      </w:r>
      <w:r w:rsidRPr="001B3460">
        <w:rPr>
          <w:rFonts w:ascii="Calibri" w:eastAsia="Google Sans Text" w:hAnsi="Calibri" w:cs="Calibri"/>
        </w:rPr>
        <w:t xml:space="preserve"> This ensures that the synthetic data is a help, not a hindrance, to building robust models.</w:t>
      </w:r>
    </w:p>
    <w:p w14:paraId="5B9C9E13"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22693750" w14:textId="77777777" w:rsidR="00BA42C7" w:rsidRPr="001B3460" w:rsidRDefault="00000000" w:rsidP="001B3460">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Table 5.1: Mitigation Strategies for Foundational Challenges in Clinical AI Model Deployment</w:t>
      </w:r>
    </w:p>
    <w:p w14:paraId="397BCDEE" w14:textId="77777777" w:rsidR="00BA42C7" w:rsidRPr="001B3460" w:rsidRDefault="00BA42C7" w:rsidP="001B3460">
      <w:pPr>
        <w:pBdr>
          <w:top w:val="nil"/>
          <w:left w:val="nil"/>
          <w:bottom w:val="nil"/>
          <w:right w:val="nil"/>
          <w:between w:val="nil"/>
        </w:pBdr>
        <w:spacing w:after="120"/>
        <w:rPr>
          <w:rFonts w:ascii="Calibri" w:eastAsia="Google Sans" w:hAnsi="Calibri" w:cs="Calibri"/>
        </w:rPr>
      </w:pPr>
    </w:p>
    <w:p w14:paraId="5D980371" w14:textId="77777777" w:rsidR="00BA42C7" w:rsidRPr="001B3460" w:rsidRDefault="00BA42C7" w:rsidP="001B3460">
      <w:pPr>
        <w:pBdr>
          <w:top w:val="nil"/>
          <w:left w:val="nil"/>
          <w:bottom w:val="nil"/>
          <w:right w:val="nil"/>
          <w:between w:val="nil"/>
        </w:pBdr>
        <w:spacing w:after="120"/>
        <w:rPr>
          <w:rFonts w:ascii="Calibri" w:eastAsia="Google Sans" w:hAnsi="Calibri" w:cs="Calibri"/>
        </w:rPr>
      </w:pPr>
    </w:p>
    <w:tbl>
      <w:tblPr>
        <w:tblStyle w:val="PlainTable2"/>
        <w:tblW w:w="5000" w:type="pct"/>
        <w:tblLook w:val="0600" w:firstRow="0" w:lastRow="0" w:firstColumn="0" w:lastColumn="0" w:noHBand="1" w:noVBand="1"/>
      </w:tblPr>
      <w:tblGrid>
        <w:gridCol w:w="2160"/>
        <w:gridCol w:w="3240"/>
        <w:gridCol w:w="4147"/>
        <w:gridCol w:w="1253"/>
      </w:tblGrid>
      <w:tr w:rsidR="00BA42C7" w:rsidRPr="001B3460" w14:paraId="092D6F9F" w14:textId="77777777" w:rsidTr="001D08AB">
        <w:tc>
          <w:tcPr>
            <w:tcW w:w="1000" w:type="pct"/>
          </w:tcPr>
          <w:p w14:paraId="2BC8FA0B" w14:textId="77777777" w:rsidR="00BA42C7" w:rsidRPr="001D08AB" w:rsidRDefault="00000000" w:rsidP="001B3460">
            <w:pPr>
              <w:pBdr>
                <w:top w:val="nil"/>
                <w:left w:val="nil"/>
                <w:bottom w:val="nil"/>
                <w:right w:val="nil"/>
                <w:between w:val="nil"/>
              </w:pBdr>
              <w:spacing w:after="120"/>
              <w:rPr>
                <w:rFonts w:ascii="Calibri" w:eastAsia="Google Sans Text" w:hAnsi="Calibri" w:cs="Calibri"/>
                <w:b/>
                <w:bCs/>
              </w:rPr>
            </w:pPr>
            <w:r w:rsidRPr="001D08AB">
              <w:rPr>
                <w:rFonts w:ascii="Calibri" w:eastAsia="Google Sans Text" w:hAnsi="Calibri" w:cs="Calibri"/>
                <w:b/>
                <w:bCs/>
              </w:rPr>
              <w:t>Key Challenge</w:t>
            </w:r>
          </w:p>
        </w:tc>
        <w:tc>
          <w:tcPr>
            <w:tcW w:w="1500" w:type="pct"/>
          </w:tcPr>
          <w:p w14:paraId="582D325D" w14:textId="77777777" w:rsidR="00BA42C7" w:rsidRPr="001D08AB" w:rsidRDefault="00000000" w:rsidP="001B3460">
            <w:pPr>
              <w:pBdr>
                <w:top w:val="nil"/>
                <w:left w:val="nil"/>
                <w:bottom w:val="nil"/>
                <w:right w:val="nil"/>
                <w:between w:val="nil"/>
              </w:pBdr>
              <w:spacing w:after="120"/>
              <w:rPr>
                <w:rFonts w:ascii="Calibri" w:eastAsia="Google Sans Text" w:hAnsi="Calibri" w:cs="Calibri"/>
                <w:b/>
                <w:bCs/>
              </w:rPr>
            </w:pPr>
            <w:r w:rsidRPr="001D08AB">
              <w:rPr>
                <w:rFonts w:ascii="Calibri" w:eastAsia="Google Sans Text" w:hAnsi="Calibri" w:cs="Calibri"/>
                <w:b/>
                <w:bCs/>
              </w:rPr>
              <w:t>Mitigation Strategy</w:t>
            </w:r>
          </w:p>
        </w:tc>
        <w:tc>
          <w:tcPr>
            <w:tcW w:w="1920" w:type="pct"/>
          </w:tcPr>
          <w:p w14:paraId="58F206BB" w14:textId="77777777" w:rsidR="00BA42C7" w:rsidRPr="001D08AB" w:rsidRDefault="00000000" w:rsidP="001B3460">
            <w:pPr>
              <w:pBdr>
                <w:top w:val="nil"/>
                <w:left w:val="nil"/>
                <w:bottom w:val="nil"/>
                <w:right w:val="nil"/>
                <w:between w:val="nil"/>
              </w:pBdr>
              <w:spacing w:after="120"/>
              <w:rPr>
                <w:rFonts w:ascii="Calibri" w:eastAsia="Google Sans Text" w:hAnsi="Calibri" w:cs="Calibri"/>
                <w:b/>
                <w:bCs/>
              </w:rPr>
            </w:pPr>
            <w:r w:rsidRPr="001D08AB">
              <w:rPr>
                <w:rFonts w:ascii="Calibri" w:eastAsia="Google Sans Text" w:hAnsi="Calibri" w:cs="Calibri"/>
                <w:b/>
                <w:bCs/>
              </w:rPr>
              <w:t>Rationale</w:t>
            </w:r>
          </w:p>
        </w:tc>
        <w:tc>
          <w:tcPr>
            <w:tcW w:w="580" w:type="pct"/>
          </w:tcPr>
          <w:p w14:paraId="57F911D1" w14:textId="77777777" w:rsidR="00BA42C7" w:rsidRPr="001D08AB" w:rsidRDefault="00000000" w:rsidP="001B3460">
            <w:pPr>
              <w:pBdr>
                <w:top w:val="nil"/>
                <w:left w:val="nil"/>
                <w:bottom w:val="nil"/>
                <w:right w:val="nil"/>
                <w:between w:val="nil"/>
              </w:pBdr>
              <w:spacing w:after="120"/>
              <w:rPr>
                <w:rFonts w:ascii="Calibri" w:eastAsia="Google Sans Text" w:hAnsi="Calibri" w:cs="Calibri"/>
                <w:b/>
                <w:bCs/>
              </w:rPr>
            </w:pPr>
            <w:r w:rsidRPr="001D08AB">
              <w:rPr>
                <w:rFonts w:ascii="Calibri" w:eastAsia="Google Sans Text" w:hAnsi="Calibri" w:cs="Calibri"/>
                <w:b/>
                <w:bCs/>
              </w:rPr>
              <w:t>Key Supporting Evidence</w:t>
            </w:r>
          </w:p>
        </w:tc>
      </w:tr>
      <w:tr w:rsidR="00BA42C7" w:rsidRPr="001B3460" w14:paraId="0497A8CC" w14:textId="77777777" w:rsidTr="001D08AB">
        <w:tc>
          <w:tcPr>
            <w:tcW w:w="1000" w:type="pct"/>
          </w:tcPr>
          <w:p w14:paraId="2F1FE16F"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t>Poor Generalizability</w:t>
            </w:r>
          </w:p>
        </w:tc>
        <w:tc>
          <w:tcPr>
            <w:tcW w:w="1500" w:type="pct"/>
          </w:tcPr>
          <w:p w14:paraId="75181B6A"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Federated Learning; External, out-of-time validation</w:t>
            </w:r>
          </w:p>
        </w:tc>
        <w:tc>
          <w:tcPr>
            <w:tcW w:w="1920" w:type="pct"/>
          </w:tcPr>
          <w:p w14:paraId="38E0A546"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Train models on diverse, multi-institutional data without compromising privacy. Test robustness against real-world data shifts.</w:t>
            </w:r>
          </w:p>
        </w:tc>
        <w:tc>
          <w:tcPr>
            <w:tcW w:w="580" w:type="pct"/>
          </w:tcPr>
          <w:p w14:paraId="1D313A56"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vertAlign w:val="superscript"/>
              </w:rPr>
              <w:t>9</w:t>
            </w:r>
          </w:p>
        </w:tc>
      </w:tr>
      <w:tr w:rsidR="00BA42C7" w:rsidRPr="001B3460" w14:paraId="2B208A42" w14:textId="77777777" w:rsidTr="001D08AB">
        <w:tc>
          <w:tcPr>
            <w:tcW w:w="1000" w:type="pct"/>
          </w:tcPr>
          <w:p w14:paraId="49334C63"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t>Lack of Interpretability</w:t>
            </w:r>
          </w:p>
        </w:tc>
        <w:tc>
          <w:tcPr>
            <w:tcW w:w="1500" w:type="pct"/>
          </w:tcPr>
          <w:p w14:paraId="5006473C"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Develop and validate transformer-specific interpretability methods (e.g., prototype learning); Utilize systematic analysis frameworks (e.g., SUFO).</w:t>
            </w:r>
          </w:p>
        </w:tc>
        <w:tc>
          <w:tcPr>
            <w:tcW w:w="1920" w:type="pct"/>
          </w:tcPr>
          <w:p w14:paraId="1BE79766"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Move beyond simplistic attention maps to build transparent models and systematically audit feature spaces to ensure trustworthy behavior.</w:t>
            </w:r>
          </w:p>
        </w:tc>
        <w:tc>
          <w:tcPr>
            <w:tcW w:w="580" w:type="pct"/>
          </w:tcPr>
          <w:p w14:paraId="1EA7EC4A"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vertAlign w:val="superscript"/>
              </w:rPr>
              <w:t>18</w:t>
            </w:r>
          </w:p>
        </w:tc>
      </w:tr>
      <w:tr w:rsidR="00BA42C7" w:rsidRPr="001B3460" w14:paraId="10717F51" w14:textId="77777777" w:rsidTr="001D08AB">
        <w:tc>
          <w:tcPr>
            <w:tcW w:w="1000" w:type="pct"/>
          </w:tcPr>
          <w:p w14:paraId="1A64C25F"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t>Risk of Factual Fabrication (LLMs)</w:t>
            </w:r>
          </w:p>
        </w:tc>
        <w:tc>
          <w:tcPr>
            <w:tcW w:w="1500" w:type="pct"/>
          </w:tcPr>
          <w:p w14:paraId="2681796D"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Retrieval-Augmented Generation (RAG); Rigorous fact-checking protocols.</w:t>
            </w:r>
          </w:p>
        </w:tc>
        <w:tc>
          <w:tcPr>
            <w:tcW w:w="1920" w:type="pct"/>
          </w:tcPr>
          <w:p w14:paraId="501C05F1"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Ground LLM outputs in a trusted, verifiable external knowledge base to minimize "hallucinations" and ensure accuracy.</w:t>
            </w:r>
          </w:p>
        </w:tc>
        <w:tc>
          <w:tcPr>
            <w:tcW w:w="580" w:type="pct"/>
          </w:tcPr>
          <w:p w14:paraId="5E1CC2FE"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vertAlign w:val="superscript"/>
              </w:rPr>
              <w:t>12</w:t>
            </w:r>
          </w:p>
        </w:tc>
      </w:tr>
      <w:tr w:rsidR="00BA42C7" w:rsidRPr="001B3460" w14:paraId="6D91CEE3" w14:textId="77777777" w:rsidTr="001D08AB">
        <w:tc>
          <w:tcPr>
            <w:tcW w:w="1000" w:type="pct"/>
          </w:tcPr>
          <w:p w14:paraId="6D2DEF42"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t>Confounding Bias</w:t>
            </w:r>
          </w:p>
        </w:tc>
        <w:tc>
          <w:tcPr>
            <w:tcW w:w="1500" w:type="pct"/>
          </w:tcPr>
          <w:p w14:paraId="1640B6F5"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Causal inference frameworks (e.g., target trial emulation); Advanced statistical methods (e.g., Double Machine Learning).</w:t>
            </w:r>
          </w:p>
        </w:tc>
        <w:tc>
          <w:tcPr>
            <w:tcW w:w="1920" w:type="pct"/>
          </w:tcPr>
          <w:p w14:paraId="4BB791C5"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Explicitly design studies to answer causal questions and use methods that can adjust for high-dimensional confounding in observational data.</w:t>
            </w:r>
          </w:p>
        </w:tc>
        <w:tc>
          <w:tcPr>
            <w:tcW w:w="580" w:type="pct"/>
          </w:tcPr>
          <w:p w14:paraId="5C601851"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vertAlign w:val="superscript"/>
              </w:rPr>
              <w:t>16</w:t>
            </w:r>
          </w:p>
        </w:tc>
      </w:tr>
      <w:tr w:rsidR="00BA42C7" w:rsidRPr="001B3460" w14:paraId="7F3416F5" w14:textId="77777777" w:rsidTr="001D08AB">
        <w:tc>
          <w:tcPr>
            <w:tcW w:w="1000" w:type="pct"/>
          </w:tcPr>
          <w:p w14:paraId="0DBAD726" w14:textId="77777777" w:rsidR="00BA42C7" w:rsidRPr="001B3460" w:rsidRDefault="00000000" w:rsidP="001B3460">
            <w:pPr>
              <w:pBdr>
                <w:top w:val="nil"/>
                <w:left w:val="nil"/>
                <w:bottom w:val="nil"/>
                <w:right w:val="nil"/>
                <w:between w:val="nil"/>
              </w:pBdr>
              <w:spacing w:after="120"/>
              <w:rPr>
                <w:rFonts w:ascii="Calibri" w:eastAsia="Google Sans Text" w:hAnsi="Calibri" w:cs="Calibri"/>
                <w:b/>
              </w:rPr>
            </w:pPr>
            <w:r w:rsidRPr="001B3460">
              <w:rPr>
                <w:rFonts w:ascii="Calibri" w:eastAsia="Google Sans Text" w:hAnsi="Calibri" w:cs="Calibri"/>
                <w:b/>
              </w:rPr>
              <w:t>Data Scarcity &amp; Privacy Barriers</w:t>
            </w:r>
          </w:p>
        </w:tc>
        <w:tc>
          <w:tcPr>
            <w:tcW w:w="1500" w:type="pct"/>
          </w:tcPr>
          <w:p w14:paraId="53DC89DF"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Synthetic Data Generation (GANs, LLMs, etc.)</w:t>
            </w:r>
          </w:p>
        </w:tc>
        <w:tc>
          <w:tcPr>
            <w:tcW w:w="1920" w:type="pct"/>
          </w:tcPr>
          <w:p w14:paraId="4EA20B46"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Create realistic, privacy-preserving datasets to enable data/code sharing for reproducibility and to augment training sets for improved model performance.</w:t>
            </w:r>
          </w:p>
        </w:tc>
        <w:tc>
          <w:tcPr>
            <w:tcW w:w="580" w:type="pct"/>
          </w:tcPr>
          <w:p w14:paraId="39975F69"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vertAlign w:val="superscript"/>
              </w:rPr>
              <w:t>47</w:t>
            </w:r>
          </w:p>
        </w:tc>
      </w:tr>
    </w:tbl>
    <w:p w14:paraId="0C61B0B7" w14:textId="77777777" w:rsidR="00BA42C7" w:rsidRPr="001B3460" w:rsidRDefault="00BA42C7" w:rsidP="001B3460">
      <w:pPr>
        <w:pBdr>
          <w:top w:val="nil"/>
          <w:left w:val="nil"/>
          <w:bottom w:val="nil"/>
          <w:right w:val="nil"/>
          <w:between w:val="nil"/>
        </w:pBdr>
        <w:spacing w:after="120"/>
        <w:rPr>
          <w:rFonts w:ascii="Calibri" w:eastAsia="Google Sans Text" w:hAnsi="Calibri" w:cs="Calibri"/>
          <w:vertAlign w:val="superscript"/>
        </w:rPr>
      </w:pPr>
    </w:p>
    <w:p w14:paraId="146102EC" w14:textId="6B0BA541" w:rsidR="00BA42C7" w:rsidRPr="001B3460" w:rsidRDefault="00000000" w:rsidP="001D08AB">
      <w:pPr>
        <w:pStyle w:val="Heading2"/>
        <w:spacing w:before="0" w:after="120"/>
        <w:rPr>
          <w:rFonts w:ascii="Calibri" w:eastAsia="Google Sans" w:hAnsi="Calibri" w:cs="Calibri"/>
          <w:sz w:val="22"/>
          <w:szCs w:val="22"/>
        </w:rPr>
      </w:pPr>
      <w:r w:rsidRPr="001B3460">
        <w:rPr>
          <w:rFonts w:ascii="Calibri" w:eastAsia="Google Sans" w:hAnsi="Calibri" w:cs="Calibri"/>
          <w:sz w:val="22"/>
          <w:szCs w:val="22"/>
        </w:rPr>
        <w:t>VI. Synthesis and Strategic Recommendations for Future Development</w:t>
      </w:r>
    </w:p>
    <w:p w14:paraId="68B9CB5C"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 preceding analysis has established that the journey toward a true psychiatric digital twin is fraught with methodological peril. The two dominant paradigms—Encoder-Retrieval and Direct LLM Retrieval—each present a compelling advantage matched by a critical, and potentially dangerous, flaw. This concluding section synthesizes these findings, proposes a hybrid architectural approach that seeks to combine their strengths while mitigating their weaknesses, and offers a set of strategic recommendations to guide the field toward the development of systems that are not only powerful but also robust, trustworthy, and clinically valuable.</w:t>
      </w:r>
    </w:p>
    <w:p w14:paraId="3ABB6808"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14AB0410" w14:textId="38CF8D66"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6.1. Recapitulation: The Brittle Encoder vs. The Unreliable LLM</w:t>
      </w:r>
    </w:p>
    <w:p w14:paraId="7FC79E85"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The core of the issue can be distilled into a fundamental trade-off. The </w:t>
      </w:r>
      <w:r w:rsidRPr="001B3460">
        <w:rPr>
          <w:rFonts w:ascii="Calibri" w:eastAsia="Google Sans Text" w:hAnsi="Calibri" w:cs="Calibri"/>
          <w:b/>
        </w:rPr>
        <w:t>Encoder-Retrieval paradigm</w:t>
      </w:r>
      <w:r w:rsidRPr="001B3460">
        <w:rPr>
          <w:rFonts w:ascii="Calibri" w:eastAsia="Google Sans Text" w:hAnsi="Calibri" w:cs="Calibri"/>
        </w:rPr>
        <w:t xml:space="preserve"> offers rigor and mathematical precision. It creates high-fidelity representations of structured data and provides a clear, if limited, path toward interpretability and integration with causal models.</w:t>
      </w:r>
      <w:r w:rsidRPr="001B3460">
        <w:rPr>
          <w:rFonts w:ascii="Calibri" w:eastAsia="Google Sans Text" w:hAnsi="Calibri" w:cs="Calibri"/>
          <w:vertAlign w:val="superscript"/>
        </w:rPr>
        <w:t>6</w:t>
      </w:r>
      <w:r w:rsidRPr="001B3460">
        <w:rPr>
          <w:rFonts w:ascii="Calibri" w:eastAsia="Google Sans Text" w:hAnsi="Calibri" w:cs="Calibri"/>
        </w:rPr>
        <w:t xml:space="preserve"> However, its strength is also its weakness: it is</w:t>
      </w:r>
    </w:p>
    <w:p w14:paraId="281943D0" w14:textId="77777777" w:rsidR="00BA42C7" w:rsidRPr="001B3460" w:rsidRDefault="00000000" w:rsidP="001B3460">
      <w:pPr>
        <w:pBdr>
          <w:top w:val="nil"/>
          <w:left w:val="nil"/>
          <w:bottom w:val="nil"/>
          <w:right w:val="nil"/>
          <w:between w:val="nil"/>
        </w:pBdr>
        <w:spacing w:after="120"/>
        <w:rPr>
          <w:rFonts w:ascii="Calibri" w:eastAsia="Google Sans Text" w:hAnsi="Calibri" w:cs="Calibri"/>
          <w:vertAlign w:val="superscript"/>
        </w:rPr>
      </w:pPr>
      <w:r w:rsidRPr="001B3460">
        <w:rPr>
          <w:rFonts w:ascii="Calibri" w:eastAsia="Google Sans Text" w:hAnsi="Calibri" w:cs="Calibri"/>
          <w:b/>
        </w:rPr>
        <w:t>brittle</w:t>
      </w:r>
      <w:r w:rsidRPr="001B3460">
        <w:rPr>
          <w:rFonts w:ascii="Calibri" w:eastAsia="Google Sans Text" w:hAnsi="Calibri" w:cs="Calibri"/>
        </w:rPr>
        <w:t>. Its performance is inextricably tied to the quality of structured data, which for depression is known to be poor, and it is prone to learning site-specific artifacts that lead to a failure to generalize.</w:t>
      </w:r>
      <w:r w:rsidRPr="001B3460">
        <w:rPr>
          <w:rFonts w:ascii="Calibri" w:eastAsia="Google Sans Text" w:hAnsi="Calibri" w:cs="Calibri"/>
          <w:vertAlign w:val="superscript"/>
        </w:rPr>
        <w:t>7</w:t>
      </w:r>
    </w:p>
    <w:p w14:paraId="6C4B40D3"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The </w:t>
      </w:r>
      <w:r w:rsidRPr="001B3460">
        <w:rPr>
          <w:rFonts w:ascii="Calibri" w:eastAsia="Google Sans Text" w:hAnsi="Calibri" w:cs="Calibri"/>
          <w:b/>
        </w:rPr>
        <w:t>Direct LLM Retrieval paradigm</w:t>
      </w:r>
      <w:r w:rsidRPr="001B3460">
        <w:rPr>
          <w:rFonts w:ascii="Calibri" w:eastAsia="Google Sans Text" w:hAnsi="Calibri" w:cs="Calibri"/>
        </w:rPr>
        <w:t xml:space="preserve"> offers immense flexibility and the promise of a more holistic understanding by processing unstructured text.</w:t>
      </w:r>
      <w:r w:rsidRPr="001B3460">
        <w:rPr>
          <w:rFonts w:ascii="Calibri" w:eastAsia="Google Sans Text" w:hAnsi="Calibri" w:cs="Calibri"/>
          <w:vertAlign w:val="superscript"/>
        </w:rPr>
        <w:t>10</w:t>
      </w:r>
      <w:r w:rsidRPr="001B3460">
        <w:rPr>
          <w:rFonts w:ascii="Calibri" w:eastAsia="Google Sans Text" w:hAnsi="Calibri" w:cs="Calibri"/>
        </w:rPr>
        <w:t xml:space="preserve"> However, this flexibility comes at the steep price of reliability. LLMs are fundamentally</w:t>
      </w:r>
    </w:p>
    <w:p w14:paraId="1E02DCAF"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b/>
        </w:rPr>
        <w:t>unreliable</w:t>
      </w:r>
      <w:r w:rsidRPr="001B3460">
        <w:rPr>
          <w:rFonts w:ascii="Calibri" w:eastAsia="Google Sans Text" w:hAnsi="Calibri" w:cs="Calibri"/>
        </w:rPr>
        <w:t xml:space="preserve"> as sources of factual information, prone to confident fabrications that pose a significant patient safety risk in a clinical context.</w:t>
      </w:r>
      <w:r w:rsidRPr="001B3460">
        <w:rPr>
          <w:rFonts w:ascii="Calibri" w:eastAsia="Google Sans Text" w:hAnsi="Calibri" w:cs="Calibri"/>
          <w:vertAlign w:val="superscript"/>
        </w:rPr>
        <w:t>11</w:t>
      </w:r>
      <w:r w:rsidRPr="001B3460">
        <w:rPr>
          <w:rFonts w:ascii="Calibri" w:eastAsia="Google Sans Text" w:hAnsi="Calibri" w:cs="Calibri"/>
        </w:rPr>
        <w:t xml:space="preserve"> Mitigation strategies like RAG are necessary but introduce their own complexities and failure points.</w:t>
      </w:r>
    </w:p>
    <w:p w14:paraId="6ED8ED21"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 xml:space="preserve">Neither paradigm, in its pure form, is sufficient. The encoder builds a precise model of flawed data. The LLM builds a </w:t>
      </w:r>
      <w:r w:rsidRPr="001B3460">
        <w:rPr>
          <w:rFonts w:ascii="Calibri" w:eastAsia="Google Sans Text" w:hAnsi="Calibri" w:cs="Calibri"/>
        </w:rPr>
        <w:lastRenderedPageBreak/>
        <w:t>flawed model of (potentially) more complete data. A new approach is needed that can reconcile this conflict.</w:t>
      </w:r>
    </w:p>
    <w:p w14:paraId="130DF6BD"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5F9C56EF" w14:textId="0D70535B"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6.2. A Hybrid Architecture for the Future</w:t>
      </w:r>
    </w:p>
    <w:p w14:paraId="0BC007FD"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 most viable and strategically sound path forward lies in a multi-stage, hybrid architecture that leverages the distinct strengths of each paradigm while containing their respective risks. This approach is founded on the engineering principle of separation of concerns: separating the complex task of data representation from the distinct task of user interaction.</w:t>
      </w:r>
    </w:p>
    <w:p w14:paraId="60FF1D5F"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The proposed architecture consists of two primary stages:</w:t>
      </w:r>
    </w:p>
    <w:p w14:paraId="3616A2A6" w14:textId="77777777" w:rsidR="00BA42C7" w:rsidRPr="001B3460" w:rsidRDefault="00000000" w:rsidP="001B3460">
      <w:pPr>
        <w:numPr>
          <w:ilvl w:val="0"/>
          <w:numId w:val="2"/>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Stage 1: The Encoder as a "Digital Twin Synthesizer."</w:t>
      </w:r>
      <w:r w:rsidRPr="001B3460">
        <w:rPr>
          <w:rFonts w:ascii="Calibri" w:eastAsia="Google Sans Text" w:hAnsi="Calibri" w:cs="Calibri"/>
        </w:rPr>
        <w:t xml:space="preserve"> In this stage, a powerful, domain-specific, and highly optimized encoder model (akin to an advanced version of DR.EHR) would be used to process the </w:t>
      </w:r>
      <w:r w:rsidRPr="001B3460">
        <w:rPr>
          <w:rFonts w:ascii="Calibri" w:eastAsia="Google Sans Text" w:hAnsi="Calibri" w:cs="Calibri"/>
          <w:i/>
        </w:rPr>
        <w:t>entirety</w:t>
      </w:r>
      <w:r w:rsidRPr="001B3460">
        <w:rPr>
          <w:rFonts w:ascii="Calibri" w:eastAsia="Google Sans Text" w:hAnsi="Calibri" w:cs="Calibri"/>
        </w:rPr>
        <w:t xml:space="preserve"> of a patient's raw EHR data.</w:t>
      </w:r>
      <w:r w:rsidRPr="001B3460">
        <w:rPr>
          <w:rFonts w:ascii="Calibri" w:eastAsia="Google Sans Text" w:hAnsi="Calibri" w:cs="Calibri"/>
          <w:vertAlign w:val="superscript"/>
        </w:rPr>
        <w:t>5</w:t>
      </w:r>
      <w:r w:rsidRPr="001B3460">
        <w:rPr>
          <w:rFonts w:ascii="Calibri" w:eastAsia="Google Sans Text" w:hAnsi="Calibri" w:cs="Calibri"/>
        </w:rPr>
        <w:t xml:space="preserve"> This includes structured codes, unstructured clinical notes, laboratory values, and potentially data from other sources like wearables. The encoder's task is not to make a final prediction but to perform a comprehensive data fusion and synthesis. Its output would be a unified, high-fidelity, structured representation of the patient's state over time. This representation could take the form of a sequence of dense state vectors, a patient-specific knowledge graph, or another structured format. This synthesized output becomes the canonical, machine-readable "digital twin"—a clean, structured summary of the messy, multimodal source data.</w:t>
      </w:r>
    </w:p>
    <w:p w14:paraId="1D6A8BAE" w14:textId="77777777" w:rsidR="00BA42C7" w:rsidRPr="001B3460" w:rsidRDefault="00000000" w:rsidP="001B3460">
      <w:pPr>
        <w:numPr>
          <w:ilvl w:val="0"/>
          <w:numId w:val="2"/>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Stage 2: The LLM as a "Constrained Query Interface."</w:t>
      </w:r>
      <w:r w:rsidRPr="001B3460">
        <w:rPr>
          <w:rFonts w:ascii="Calibri" w:eastAsia="Google Sans Text" w:hAnsi="Calibri" w:cs="Calibri"/>
        </w:rPr>
        <w:t xml:space="preserve"> In the second stage, a specialized, fine-tuned LLM serves as a natural language interface for clinicians. Crucially, this LLM would not interact directly with the raw, chaotic EHR data. Instead, it would be heavily constrained by a RAG system that uses the </w:t>
      </w:r>
      <w:r w:rsidRPr="001B3460">
        <w:rPr>
          <w:rFonts w:ascii="Calibri" w:eastAsia="Google Sans Text" w:hAnsi="Calibri" w:cs="Calibri"/>
          <w:b/>
        </w:rPr>
        <w:t>structured digital twin representation from Stage 1</w:t>
      </w:r>
      <w:r w:rsidRPr="001B3460">
        <w:rPr>
          <w:rFonts w:ascii="Calibri" w:eastAsia="Google Sans Text" w:hAnsi="Calibri" w:cs="Calibri"/>
        </w:rPr>
        <w:t xml:space="preserve"> as its sole knowledge base. When a clinician asks a question in natural language (e.g., "Summarize this patient's treatment history for depression and their response to SSRIs"), the RAG system retrieves the relevant, structured information from the synthesized twin and provides it to the LLM as context. The LLM's only task is to translate that structured, verified information into a fluent, human-readable summary.</w:t>
      </w:r>
    </w:p>
    <w:p w14:paraId="1B7D4FBB"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This hybrid architecture effectively resolves the central conflict. It grounds the flexible but unreliable LLM in a robust, high-fidelity representation created by the encoder. This dramatically mitigates the risk of hallucination, as the LLM is not asked to interpret raw data but simply to translate pre-synthesized, structured facts. It leverages the encoder's unique strength in temporal, multimodal data synthesis and the LLM's unique strength in human-computer interaction. This modular design contains the risks of each component, allows for their independent optimization and validation, and creates a system that is more robust, trustworthy, and ultimately more useful for clinical decision support.</w:t>
      </w:r>
    </w:p>
    <w:p w14:paraId="31687148" w14:textId="77777777" w:rsidR="00BA42C7" w:rsidRPr="001B3460" w:rsidRDefault="00BA42C7" w:rsidP="001B3460">
      <w:pPr>
        <w:pBdr>
          <w:top w:val="nil"/>
          <w:left w:val="nil"/>
          <w:bottom w:val="nil"/>
          <w:right w:val="nil"/>
          <w:between w:val="nil"/>
        </w:pBdr>
        <w:spacing w:after="120"/>
        <w:rPr>
          <w:rFonts w:ascii="Calibri" w:eastAsia="Google Sans Text" w:hAnsi="Calibri" w:cs="Calibri"/>
        </w:rPr>
      </w:pPr>
    </w:p>
    <w:p w14:paraId="28131336" w14:textId="293A809C" w:rsidR="00BA42C7" w:rsidRPr="001B3460" w:rsidRDefault="00000000" w:rsidP="001D08AB">
      <w:pPr>
        <w:pStyle w:val="Heading3"/>
        <w:spacing w:before="0" w:after="120"/>
        <w:rPr>
          <w:rFonts w:ascii="Calibri" w:eastAsia="Google Sans" w:hAnsi="Calibri" w:cs="Calibri"/>
          <w:sz w:val="22"/>
          <w:szCs w:val="22"/>
        </w:rPr>
      </w:pPr>
      <w:r w:rsidRPr="001B3460">
        <w:rPr>
          <w:rFonts w:ascii="Calibri" w:eastAsia="Google Sans" w:hAnsi="Calibri" w:cs="Calibri"/>
          <w:sz w:val="22"/>
          <w:szCs w:val="22"/>
        </w:rPr>
        <w:t>6.3. Final Recommendations</w:t>
      </w:r>
    </w:p>
    <w:p w14:paraId="7ED4BED4" w14:textId="77777777" w:rsidR="00BA42C7" w:rsidRPr="001B3460" w:rsidRDefault="00000000" w:rsidP="001B3460">
      <w:pPr>
        <w:pBdr>
          <w:top w:val="nil"/>
          <w:left w:val="nil"/>
          <w:bottom w:val="nil"/>
          <w:right w:val="nil"/>
          <w:between w:val="nil"/>
        </w:pBdr>
        <w:spacing w:after="120"/>
        <w:rPr>
          <w:rFonts w:ascii="Calibri" w:eastAsia="Google Sans Text" w:hAnsi="Calibri" w:cs="Calibri"/>
        </w:rPr>
      </w:pPr>
      <w:r w:rsidRPr="001B3460">
        <w:rPr>
          <w:rFonts w:ascii="Calibri" w:eastAsia="Google Sans Text" w:hAnsi="Calibri" w:cs="Calibri"/>
        </w:rPr>
        <w:t>To realize the potential of this hybrid architecture and the broader vision of the psychiatric digital twin, a concerted effort is required from researchers, developers, funding agencies, and healthcare institutions. The following strategic recommendations are proposed:</w:t>
      </w:r>
    </w:p>
    <w:p w14:paraId="42A9BE68" w14:textId="77777777" w:rsidR="00BA42C7" w:rsidRPr="001B3460" w:rsidRDefault="00000000" w:rsidP="001B3460">
      <w:pPr>
        <w:numPr>
          <w:ilvl w:val="0"/>
          <w:numId w:val="3"/>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Prioritize Causal and Interpretable Models:</w:t>
      </w:r>
      <w:r w:rsidRPr="001B3460">
        <w:rPr>
          <w:rFonts w:ascii="Calibri" w:eastAsia="Google Sans Text" w:hAnsi="Calibri" w:cs="Calibri"/>
        </w:rPr>
        <w:t xml:space="preserve"> The field must shift its primary focus from optimizing predictive accuracy on benchmark datasets to developing models that are inherently interpretable and designed for causal inference. This is a prerequisite for building systems that can be trusted to simulate clinical scenarios and generalize to new environments.</w:t>
      </w:r>
    </w:p>
    <w:p w14:paraId="04FA6B22" w14:textId="77777777" w:rsidR="00BA42C7" w:rsidRPr="001B3460" w:rsidRDefault="00000000" w:rsidP="001B3460">
      <w:pPr>
        <w:numPr>
          <w:ilvl w:val="0"/>
          <w:numId w:val="3"/>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Invest in Data Standardization and Infrastructure:</w:t>
      </w:r>
      <w:r w:rsidRPr="001B3460">
        <w:rPr>
          <w:rFonts w:ascii="Calibri" w:eastAsia="Google Sans Text" w:hAnsi="Calibri" w:cs="Calibri"/>
        </w:rPr>
        <w:t xml:space="preserve"> The single greatest bottleneck to progress is the quality and accessibility of data. It is imperative to support initiatives aimed at creating large-scale, multi-institutional, standardized EHR datasets for mental health. Concurrently, the development and adoption of privacy-preserving technologies like federated learning and high-fidelity synthetic data generation should be promoted to facilitate collaboration and reproducibility.</w:t>
      </w:r>
    </w:p>
    <w:p w14:paraId="15ECB88B" w14:textId="77777777" w:rsidR="00BA42C7" w:rsidRPr="001B3460" w:rsidRDefault="00000000" w:rsidP="001B3460">
      <w:pPr>
        <w:numPr>
          <w:ilvl w:val="0"/>
          <w:numId w:val="3"/>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t>Develop and Validate Hybrid Architectures:</w:t>
      </w:r>
      <w:r w:rsidRPr="001B3460">
        <w:rPr>
          <w:rFonts w:ascii="Calibri" w:eastAsia="Google Sans Text" w:hAnsi="Calibri" w:cs="Calibri"/>
        </w:rPr>
        <w:t xml:space="preserve"> Research and development efforts should be directed toward building and rigorously testing multi-stage, hybrid models that separate the task of representation learning from the task of user interaction, as outlined in the proposed architecture. This represents the most promising path toward a system that is both powerful and safe.</w:t>
      </w:r>
    </w:p>
    <w:p w14:paraId="35706106" w14:textId="77777777" w:rsidR="00BA42C7" w:rsidRPr="001B3460" w:rsidRDefault="00000000" w:rsidP="001B3460">
      <w:pPr>
        <w:numPr>
          <w:ilvl w:val="0"/>
          <w:numId w:val="3"/>
        </w:numPr>
        <w:pBdr>
          <w:top w:val="nil"/>
          <w:left w:val="nil"/>
          <w:bottom w:val="nil"/>
          <w:right w:val="nil"/>
          <w:between w:val="nil"/>
        </w:pBdr>
        <w:spacing w:after="120"/>
        <w:rPr>
          <w:rFonts w:ascii="Calibri" w:hAnsi="Calibri" w:cs="Calibri"/>
        </w:rPr>
      </w:pPr>
      <w:r w:rsidRPr="001B3460">
        <w:rPr>
          <w:rFonts w:ascii="Calibri" w:eastAsia="Google Sans Text" w:hAnsi="Calibri" w:cs="Calibri"/>
          <w:b/>
        </w:rPr>
        <w:lastRenderedPageBreak/>
        <w:t>Establish Rigorous, Clinically-Grounded Evaluation Frameworks:</w:t>
      </w:r>
      <w:r w:rsidRPr="001B3460">
        <w:rPr>
          <w:rFonts w:ascii="Calibri" w:eastAsia="Google Sans Text" w:hAnsi="Calibri" w:cs="Calibri"/>
        </w:rPr>
        <w:t xml:space="preserve"> The community must move beyond simplistic metrics like AUROC. New evaluation frameworks are needed that assess model performance across a wider range of clinically relevant criteria, including robustness to data shifts, fairness across demographic subgroups, safety in failure modes, and real-world clinical utility. These frameworks must incorporate human-in-the-loop validation, adversarial testing, and comprehensive bias audits as standard practice, embracing challenges and feedback as essential drivers of system improvement.</w:t>
      </w:r>
    </w:p>
    <w:p w14:paraId="3E03DE8E" w14:textId="77777777" w:rsidR="001B3460" w:rsidRDefault="001B3460">
      <w:pPr>
        <w:rPr>
          <w:rFonts w:ascii="Calibri" w:eastAsia="Google Sans" w:hAnsi="Calibri" w:cs="Calibri"/>
          <w:b/>
        </w:rPr>
      </w:pPr>
      <w:r>
        <w:rPr>
          <w:rFonts w:ascii="Calibri" w:eastAsia="Google Sans" w:hAnsi="Calibri" w:cs="Calibri"/>
        </w:rPr>
        <w:br w:type="page"/>
      </w:r>
    </w:p>
    <w:p w14:paraId="3346E352" w14:textId="6E9750CE" w:rsidR="00BA42C7" w:rsidRPr="001B3460" w:rsidRDefault="00000000" w:rsidP="001B3460">
      <w:pPr>
        <w:pStyle w:val="Heading4"/>
        <w:spacing w:before="0" w:after="120"/>
        <w:rPr>
          <w:rFonts w:ascii="Calibri" w:eastAsia="Google Sans" w:hAnsi="Calibri" w:cs="Calibri"/>
          <w:sz w:val="22"/>
          <w:szCs w:val="22"/>
        </w:rPr>
      </w:pPr>
      <w:r w:rsidRPr="001B3460">
        <w:rPr>
          <w:rFonts w:ascii="Calibri" w:eastAsia="Google Sans" w:hAnsi="Calibri" w:cs="Calibri"/>
          <w:sz w:val="22"/>
          <w:szCs w:val="22"/>
        </w:rPr>
        <w:lastRenderedPageBreak/>
        <w:t>Works cited</w:t>
      </w:r>
    </w:p>
    <w:p w14:paraId="418B86D9"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Human Digital Twins in Personalized Healthcare: An Overview and Future Perspectives, accessed August 1, 2025, </w:t>
      </w:r>
      <w:hyperlink r:id="rId5">
        <w:r w:rsidRPr="001B3460">
          <w:rPr>
            <w:rFonts w:ascii="Calibri" w:eastAsia="Google Sans" w:hAnsi="Calibri" w:cs="Calibri"/>
            <w:color w:val="0000EE"/>
            <w:u w:val="single"/>
          </w:rPr>
          <w:t>https://arxiv.org/html/2503.11944v1</w:t>
        </w:r>
      </w:hyperlink>
    </w:p>
    <w:p w14:paraId="20C1064E"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Digital Twins in Healthcare: Revolutionizing Patient Care at Duke, accessed August 1, 2025, </w:t>
      </w:r>
      <w:hyperlink r:id="rId6">
        <w:r w:rsidRPr="001B3460">
          <w:rPr>
            <w:rFonts w:ascii="Calibri" w:eastAsia="Google Sans" w:hAnsi="Calibri" w:cs="Calibri"/>
            <w:color w:val="0000EE"/>
            <w:u w:val="single"/>
          </w:rPr>
          <w:t>https://comphealth.duke.edu/digital-twins-in-healthcare-revolutionizing-patient-care-at-duke/</w:t>
        </w:r>
      </w:hyperlink>
    </w:p>
    <w:p w14:paraId="281B9F27"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Digital twin tech to transform surgical decisions, </w:t>
      </w:r>
      <w:proofErr w:type="spellStart"/>
      <w:r w:rsidRPr="001B3460">
        <w:rPr>
          <w:rFonts w:ascii="Calibri" w:eastAsia="Google Sans" w:hAnsi="Calibri" w:cs="Calibri"/>
        </w:rPr>
        <w:t>personalised</w:t>
      </w:r>
      <w:proofErr w:type="spellEnd"/>
      <w:r w:rsidRPr="001B3460">
        <w:rPr>
          <w:rFonts w:ascii="Calibri" w:eastAsia="Google Sans" w:hAnsi="Calibri" w:cs="Calibri"/>
        </w:rPr>
        <w:t xml:space="preserve"> healthcare: Doc, accessed August 1, 2025, </w:t>
      </w:r>
      <w:hyperlink r:id="rId7">
        <w:r w:rsidRPr="001B3460">
          <w:rPr>
            <w:rFonts w:ascii="Calibri" w:eastAsia="Google Sans" w:hAnsi="Calibri" w:cs="Calibri"/>
            <w:color w:val="0000EE"/>
            <w:u w:val="single"/>
          </w:rPr>
          <w:t>https://timesofindia.indiatimes.com/c</w:t>
        </w:r>
        <w:r w:rsidRPr="001B3460">
          <w:rPr>
            <w:rFonts w:ascii="Calibri" w:eastAsia="Google Sans" w:hAnsi="Calibri" w:cs="Calibri"/>
            <w:color w:val="0000EE"/>
            <w:u w:val="single"/>
          </w:rPr>
          <w:t>i</w:t>
        </w:r>
        <w:r w:rsidRPr="001B3460">
          <w:rPr>
            <w:rFonts w:ascii="Calibri" w:eastAsia="Google Sans" w:hAnsi="Calibri" w:cs="Calibri"/>
            <w:color w:val="0000EE"/>
            <w:u w:val="single"/>
          </w:rPr>
          <w:t>ty/lucknow/digital-twin-tech-to-transform-surgical-decisions-personalised-healthcare-doc/articleshow/122927917.cms</w:t>
        </w:r>
      </w:hyperlink>
    </w:p>
    <w:p w14:paraId="46B55337"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Martin P. Paulus, M.D. - The University of Tulsa, accessed August 1, 2025, </w:t>
      </w:r>
      <w:hyperlink r:id="rId8">
        <w:r w:rsidRPr="001B3460">
          <w:rPr>
            <w:rFonts w:ascii="Calibri" w:eastAsia="Google Sans" w:hAnsi="Calibri" w:cs="Calibri"/>
            <w:color w:val="0000EE"/>
            <w:u w:val="single"/>
          </w:rPr>
          <w:t>https://utulsa.edu/people/martin-paulus/</w:t>
        </w:r>
      </w:hyperlink>
    </w:p>
    <w:p w14:paraId="354639BA"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DR.EHR: Dense Retrieval for Electronic Health Record with Knowledge Injection and Synthetic Data - </w:t>
      </w:r>
      <w:proofErr w:type="spellStart"/>
      <w:r w:rsidRPr="001B3460">
        <w:rPr>
          <w:rFonts w:ascii="Calibri" w:eastAsia="Google Sans" w:hAnsi="Calibri" w:cs="Calibri"/>
        </w:rPr>
        <w:t>arXiv</w:t>
      </w:r>
      <w:proofErr w:type="spellEnd"/>
      <w:r w:rsidRPr="001B3460">
        <w:rPr>
          <w:rFonts w:ascii="Calibri" w:eastAsia="Google Sans" w:hAnsi="Calibri" w:cs="Calibri"/>
        </w:rPr>
        <w:t xml:space="preserve">, accessed August 1, 2025, </w:t>
      </w:r>
      <w:hyperlink r:id="rId9">
        <w:r w:rsidRPr="001B3460">
          <w:rPr>
            <w:rFonts w:ascii="Calibri" w:eastAsia="Google Sans" w:hAnsi="Calibri" w:cs="Calibri"/>
            <w:color w:val="0000EE"/>
            <w:u w:val="single"/>
          </w:rPr>
          <w:t>https://arxiv.org/html/2507.18583v1</w:t>
        </w:r>
      </w:hyperlink>
    </w:p>
    <w:p w14:paraId="622158C1"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Bidirectional Representation Learning </w:t>
      </w:r>
      <w:proofErr w:type="gramStart"/>
      <w:r w:rsidRPr="001B3460">
        <w:rPr>
          <w:rFonts w:ascii="Calibri" w:eastAsia="Google Sans" w:hAnsi="Calibri" w:cs="Calibri"/>
        </w:rPr>
        <w:t>From</w:t>
      </w:r>
      <w:proofErr w:type="gramEnd"/>
      <w:r w:rsidRPr="001B3460">
        <w:rPr>
          <w:rFonts w:ascii="Calibri" w:eastAsia="Google Sans" w:hAnsi="Calibri" w:cs="Calibri"/>
        </w:rPr>
        <w:t xml:space="preserve"> Transformers Using ..., accessed August 1, 2025, </w:t>
      </w:r>
      <w:hyperlink r:id="rId10">
        <w:r w:rsidRPr="001B3460">
          <w:rPr>
            <w:rFonts w:ascii="Calibri" w:eastAsia="Google Sans" w:hAnsi="Calibri" w:cs="Calibri"/>
            <w:color w:val="0000EE"/>
            <w:u w:val="single"/>
          </w:rPr>
          <w:t>https://pubmed.ncbi.nlm.nih.gov/33661740/</w:t>
        </w:r>
      </w:hyperlink>
    </w:p>
    <w:p w14:paraId="3456C931"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Challenges to depression care documentation in an EHR - PubMed, accessed August 1, 2025, </w:t>
      </w:r>
      <w:hyperlink r:id="rId11">
        <w:r w:rsidRPr="001B3460">
          <w:rPr>
            <w:rFonts w:ascii="Calibri" w:eastAsia="Google Sans" w:hAnsi="Calibri" w:cs="Calibri"/>
            <w:color w:val="0000EE"/>
            <w:u w:val="single"/>
          </w:rPr>
          <w:t>https://pubmed.ncbi.nlm.nih.gov/23553091/</w:t>
        </w:r>
      </w:hyperlink>
    </w:p>
    <w:p w14:paraId="007137EB"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Using Structured Codes and Free-Text Notes to Measure Information Complementarity in Electronic Health Records: Feasibility and Validation Study - Journal of Medical Internet Research, accessed August 1, 2025, </w:t>
      </w:r>
      <w:hyperlink r:id="rId12">
        <w:r w:rsidRPr="001B3460">
          <w:rPr>
            <w:rFonts w:ascii="Calibri" w:eastAsia="Google Sans" w:hAnsi="Calibri" w:cs="Calibri"/>
            <w:color w:val="0000EE"/>
            <w:u w:val="single"/>
          </w:rPr>
          <w:t>https://www.jmir.org/2025/1/e66910/PDF</w:t>
        </w:r>
      </w:hyperlink>
    </w:p>
    <w:p w14:paraId="127AE10E"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Machine learning generalizability across healthcare settings: insights from multi-site COVID-19 screening - Bohrium, accessed August 1, 2025, </w:t>
      </w:r>
      <w:hyperlink r:id="rId13">
        <w:r w:rsidRPr="001B3460">
          <w:rPr>
            <w:rFonts w:ascii="Calibri" w:eastAsia="Google Sans" w:hAnsi="Calibri" w:cs="Calibri"/>
            <w:color w:val="0000EE"/>
            <w:u w:val="single"/>
          </w:rPr>
          <w:t>https://www.bohrium.com/paper-details/machine-learning-generalizability-across-healthcare-settings-insights-from-multi-site-covid-19-screening/817358630679478273-10669</w:t>
        </w:r>
      </w:hyperlink>
    </w:p>
    <w:p w14:paraId="0F188FC9"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Large Language Models in Mental Health Care: </w:t>
      </w:r>
      <w:proofErr w:type="gramStart"/>
      <w:r w:rsidRPr="001B3460">
        <w:rPr>
          <w:rFonts w:ascii="Calibri" w:eastAsia="Google Sans" w:hAnsi="Calibri" w:cs="Calibri"/>
        </w:rPr>
        <w:t>a</w:t>
      </w:r>
      <w:proofErr w:type="gramEnd"/>
      <w:r w:rsidRPr="001B3460">
        <w:rPr>
          <w:rFonts w:ascii="Calibri" w:eastAsia="Google Sans" w:hAnsi="Calibri" w:cs="Calibri"/>
        </w:rPr>
        <w:t xml:space="preserve"> Scoping ... - </w:t>
      </w:r>
      <w:proofErr w:type="spellStart"/>
      <w:r w:rsidRPr="001B3460">
        <w:rPr>
          <w:rFonts w:ascii="Calibri" w:eastAsia="Google Sans" w:hAnsi="Calibri" w:cs="Calibri"/>
        </w:rPr>
        <w:t>arXiv</w:t>
      </w:r>
      <w:proofErr w:type="spellEnd"/>
      <w:r w:rsidRPr="001B3460">
        <w:rPr>
          <w:rFonts w:ascii="Calibri" w:eastAsia="Google Sans" w:hAnsi="Calibri" w:cs="Calibri"/>
        </w:rPr>
        <w:t xml:space="preserve">, accessed August 1, 2025, </w:t>
      </w:r>
      <w:hyperlink r:id="rId14">
        <w:r w:rsidRPr="001B3460">
          <w:rPr>
            <w:rFonts w:ascii="Calibri" w:eastAsia="Google Sans" w:hAnsi="Calibri" w:cs="Calibri"/>
            <w:color w:val="0000EE"/>
            <w:u w:val="single"/>
          </w:rPr>
          <w:t>https://arxiv.org/pdf/2401.02984</w:t>
        </w:r>
      </w:hyperlink>
    </w:p>
    <w:p w14:paraId="3C50CBC1"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Evaluating the Accuracy of Responses by Large Language Models ..., accessed August 1, 2025, </w:t>
      </w:r>
      <w:hyperlink r:id="rId15">
        <w:r w:rsidRPr="001B3460">
          <w:rPr>
            <w:rFonts w:ascii="Calibri" w:eastAsia="Google Sans" w:hAnsi="Calibri" w:cs="Calibri"/>
            <w:color w:val="0000EE"/>
            <w:u w:val="single"/>
          </w:rPr>
          <w:t>https://pmc.ncbi.nlm.nih.gov/articles/PMC11791122/</w:t>
        </w:r>
      </w:hyperlink>
    </w:p>
    <w:p w14:paraId="02A57004"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Why we need to be careful with LLMs in medicine - PMC - PubMed Central, accessed August 1, 2025, </w:t>
      </w:r>
      <w:hyperlink r:id="rId16">
        <w:r w:rsidRPr="001B3460">
          <w:rPr>
            <w:rFonts w:ascii="Calibri" w:eastAsia="Google Sans" w:hAnsi="Calibri" w:cs="Calibri"/>
            <w:color w:val="0000EE"/>
            <w:u w:val="single"/>
          </w:rPr>
          <w:t>https://pmc.ncbi.nlm.nih.gov/articles/PMC11652181/</w:t>
        </w:r>
      </w:hyperlink>
    </w:p>
    <w:p w14:paraId="1FC6EA6D"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Medical LLMs: Fine-Tuning vs. Retrieval-Augmented Generation - MDPI, accessed August 1, 2025, </w:t>
      </w:r>
      <w:hyperlink r:id="rId17">
        <w:r w:rsidRPr="001B3460">
          <w:rPr>
            <w:rFonts w:ascii="Calibri" w:eastAsia="Google Sans" w:hAnsi="Calibri" w:cs="Calibri"/>
            <w:color w:val="0000EE"/>
            <w:u w:val="single"/>
          </w:rPr>
          <w:t>https://www.mdpi.com/2306-5354/12/7/687</w:t>
        </w:r>
      </w:hyperlink>
    </w:p>
    <w:p w14:paraId="2D1C0815"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Human Digital Twins in Personalized Healthcare: An Overview and Future Perspectives, accessed August 1, 2025, </w:t>
      </w:r>
      <w:hyperlink r:id="rId18">
        <w:r w:rsidRPr="001B3460">
          <w:rPr>
            <w:rFonts w:ascii="Calibri" w:eastAsia="Google Sans" w:hAnsi="Calibri" w:cs="Calibri"/>
            <w:color w:val="0000EE"/>
            <w:u w:val="single"/>
          </w:rPr>
          <w:t>https://www.researchgate.net/p</w:t>
        </w:r>
        <w:r w:rsidRPr="001B3460">
          <w:rPr>
            <w:rFonts w:ascii="Calibri" w:eastAsia="Google Sans" w:hAnsi="Calibri" w:cs="Calibri"/>
            <w:color w:val="0000EE"/>
            <w:u w:val="single"/>
          </w:rPr>
          <w:t>u</w:t>
        </w:r>
        <w:r w:rsidRPr="001B3460">
          <w:rPr>
            <w:rFonts w:ascii="Calibri" w:eastAsia="Google Sans" w:hAnsi="Calibri" w:cs="Calibri"/>
            <w:color w:val="0000EE"/>
            <w:u w:val="single"/>
          </w:rPr>
          <w:t>blication/389916943_Human_Digital_Twins_in_Personalized_Healthcare_An_Overview_and_Future_Perspectives</w:t>
        </w:r>
      </w:hyperlink>
    </w:p>
    <w:p w14:paraId="276EC5C1"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Digital Twins in Healthcare: The Future of Personalized Medicine - Viva Technology, accessed August 1, 2025, </w:t>
      </w:r>
      <w:hyperlink r:id="rId19">
        <w:r w:rsidRPr="001B3460">
          <w:rPr>
            <w:rFonts w:ascii="Calibri" w:eastAsia="Google Sans" w:hAnsi="Calibri" w:cs="Calibri"/>
            <w:color w:val="0000EE"/>
            <w:u w:val="single"/>
          </w:rPr>
          <w:t>https://vivatechnology.com/news/digital-twins-in-healthcare-the-future-of-personalized-medicine</w:t>
        </w:r>
      </w:hyperlink>
    </w:p>
    <w:p w14:paraId="5FA53276"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Step-by-step causal analysis of EHRs to ground decision-making ..., accessed August 1, 2025, </w:t>
      </w:r>
      <w:hyperlink r:id="rId20">
        <w:r w:rsidRPr="001B3460">
          <w:rPr>
            <w:rFonts w:ascii="Calibri" w:eastAsia="Google Sans" w:hAnsi="Calibri" w:cs="Calibri"/>
            <w:color w:val="0000EE"/>
            <w:u w:val="single"/>
          </w:rPr>
          <w:t>https://pmc.ncbi.nlm.nih.gov/articles/PMC11790099/</w:t>
        </w:r>
      </w:hyperlink>
    </w:p>
    <w:p w14:paraId="5F8DBF4B"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Step-by-step causal analysis of EHRs to ground decision-making | PLOS Digital Health, accessed August 1, 2025, </w:t>
      </w:r>
      <w:hyperlink r:id="rId21">
        <w:r w:rsidRPr="001B3460">
          <w:rPr>
            <w:rFonts w:ascii="Calibri" w:eastAsia="Google Sans" w:hAnsi="Calibri" w:cs="Calibri"/>
            <w:color w:val="0000EE"/>
            <w:u w:val="single"/>
          </w:rPr>
          <w:t>https://journals.plos.org/digitalhealth/article?id=10.1371/journal.pdig.0000721</w:t>
        </w:r>
      </w:hyperlink>
    </w:p>
    <w:p w14:paraId="5BF085B3"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Diagnosing Transformers: Illuminating Feature Spaces for Clinical Decision-Making - </w:t>
      </w:r>
      <w:proofErr w:type="spellStart"/>
      <w:r w:rsidRPr="001B3460">
        <w:rPr>
          <w:rFonts w:ascii="Calibri" w:eastAsia="Google Sans" w:hAnsi="Calibri" w:cs="Calibri"/>
        </w:rPr>
        <w:t>arXiv</w:t>
      </w:r>
      <w:proofErr w:type="spellEnd"/>
      <w:r w:rsidRPr="001B3460">
        <w:rPr>
          <w:rFonts w:ascii="Calibri" w:eastAsia="Google Sans" w:hAnsi="Calibri" w:cs="Calibri"/>
        </w:rPr>
        <w:t xml:space="preserve">, accessed August 1, 2025, </w:t>
      </w:r>
      <w:hyperlink r:id="rId22">
        <w:r w:rsidRPr="001B3460">
          <w:rPr>
            <w:rFonts w:ascii="Calibri" w:eastAsia="Google Sans" w:hAnsi="Calibri" w:cs="Calibri"/>
            <w:color w:val="0000EE"/>
            <w:u w:val="single"/>
          </w:rPr>
          <w:t>https://arxiv.org/abs/2305.17588</w:t>
        </w:r>
      </w:hyperlink>
    </w:p>
    <w:p w14:paraId="3545FB9F"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A critical moment in machine learning in medicine: on reproducible ..., accessed August 1, 2025, </w:t>
      </w:r>
      <w:hyperlink r:id="rId23">
        <w:r w:rsidRPr="001B3460">
          <w:rPr>
            <w:rFonts w:ascii="Calibri" w:eastAsia="Google Sans" w:hAnsi="Calibri" w:cs="Calibri"/>
            <w:color w:val="0000EE"/>
            <w:u w:val="single"/>
          </w:rPr>
          <w:t>https://pmc.ncbi.nlm.nih.gov/articles/PMC10791964/</w:t>
        </w:r>
      </w:hyperlink>
    </w:p>
    <w:p w14:paraId="58D2C333"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Digital Twins: The New Frontier for Personalized Medicine? - MDPI, accessed August 1, 2025, </w:t>
      </w:r>
      <w:hyperlink r:id="rId24">
        <w:r w:rsidRPr="001B3460">
          <w:rPr>
            <w:rFonts w:ascii="Calibri" w:eastAsia="Google Sans" w:hAnsi="Calibri" w:cs="Calibri"/>
            <w:color w:val="0000EE"/>
            <w:u w:val="single"/>
          </w:rPr>
          <w:t>https://www.mdpi.com/2076-3417/13/13/7940</w:t>
        </w:r>
      </w:hyperlink>
    </w:p>
    <w:p w14:paraId="28975D76"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Digital Twins' Advancements and Applications in Healthcare, Towards Precision Medicine, accessed August 1, 2025, </w:t>
      </w:r>
      <w:hyperlink r:id="rId25">
        <w:r w:rsidRPr="001B3460">
          <w:rPr>
            <w:rFonts w:ascii="Calibri" w:eastAsia="Google Sans" w:hAnsi="Calibri" w:cs="Calibri"/>
            <w:color w:val="0000EE"/>
            <w:u w:val="single"/>
          </w:rPr>
          <w:t>https://www.mdpi.com/2075-4426/14/11/1101</w:t>
        </w:r>
      </w:hyperlink>
    </w:p>
    <w:p w14:paraId="51E93ADA"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Concepts and applications of digital twins in healthcare and medicine - Sheng Xu, accessed August 1, 2025, </w:t>
      </w:r>
      <w:hyperlink r:id="rId26">
        <w:r w:rsidRPr="001B3460">
          <w:rPr>
            <w:rFonts w:ascii="Calibri" w:eastAsia="Google Sans" w:hAnsi="Calibri" w:cs="Calibri"/>
            <w:color w:val="0000EE"/>
            <w:u w:val="single"/>
          </w:rPr>
          <w:t>https://xugroup.eng.ucsd.edu/wp-content/uploads/2024/11/94.pdf</w:t>
        </w:r>
      </w:hyperlink>
    </w:p>
    <w:p w14:paraId="7B83A5DE"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What is a digital patient twin? - Siemens </w:t>
      </w:r>
      <w:proofErr w:type="spellStart"/>
      <w:r w:rsidRPr="001B3460">
        <w:rPr>
          <w:rFonts w:ascii="Calibri" w:eastAsia="Google Sans" w:hAnsi="Calibri" w:cs="Calibri"/>
        </w:rPr>
        <w:t>Healthineers</w:t>
      </w:r>
      <w:proofErr w:type="spellEnd"/>
      <w:r w:rsidRPr="001B3460">
        <w:rPr>
          <w:rFonts w:ascii="Calibri" w:eastAsia="Google Sans" w:hAnsi="Calibri" w:cs="Calibri"/>
        </w:rPr>
        <w:t xml:space="preserve">, accessed August 1, 2025, </w:t>
      </w:r>
      <w:hyperlink r:id="rId27">
        <w:r w:rsidRPr="001B3460">
          <w:rPr>
            <w:rFonts w:ascii="Calibri" w:eastAsia="Google Sans" w:hAnsi="Calibri" w:cs="Calibri"/>
            <w:color w:val="0000EE"/>
            <w:u w:val="single"/>
          </w:rPr>
          <w:t>https://www.siemens-healthineers.com/perspectives/digital-patient-twin</w:t>
        </w:r>
      </w:hyperlink>
    </w:p>
    <w:p w14:paraId="047F2C57"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Digital Twins in Healthcare: A Survey of Current Methods - Fortune Journals, accessed August 1, 2025, </w:t>
      </w:r>
      <w:hyperlink r:id="rId28">
        <w:r w:rsidRPr="001B3460">
          <w:rPr>
            <w:rFonts w:ascii="Calibri" w:eastAsia="Google Sans" w:hAnsi="Calibri" w:cs="Calibri"/>
            <w:color w:val="0000EE"/>
            <w:u w:val="single"/>
          </w:rPr>
          <w:t>http://www.fortunejournals.com/articles/digital-twins-in-healthcare-a-survey-of-current-methods.html</w:t>
        </w:r>
      </w:hyperlink>
    </w:p>
    <w:p w14:paraId="1DD4AE4B"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Digital Representation of Patients as ... - JMIR Medical Informatics, accessed August 1, 2025, </w:t>
      </w:r>
      <w:hyperlink r:id="rId29">
        <w:r w:rsidRPr="001B3460">
          <w:rPr>
            <w:rFonts w:ascii="Calibri" w:eastAsia="Google Sans" w:hAnsi="Calibri" w:cs="Calibri"/>
            <w:color w:val="0000EE"/>
            <w:u w:val="single"/>
          </w:rPr>
          <w:t>https://medinform.jmir.org/2025/1/e53542</w:t>
        </w:r>
      </w:hyperlink>
    </w:p>
    <w:p w14:paraId="032F3EED"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Martin Paulus, MD - ADAA Board, accessed August 1, 2025, </w:t>
      </w:r>
      <w:hyperlink r:id="rId30">
        <w:r w:rsidRPr="001B3460">
          <w:rPr>
            <w:rFonts w:ascii="Calibri" w:eastAsia="Google Sans" w:hAnsi="Calibri" w:cs="Calibri"/>
            <w:color w:val="0000EE"/>
            <w:u w:val="single"/>
          </w:rPr>
          <w:t>https://adaa.org/about-adaa/press-room/bios/martin-paulus</w:t>
        </w:r>
      </w:hyperlink>
    </w:p>
    <w:p w14:paraId="468DCF1B"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Martin P. Paulus: Neuroscience H-index &amp; Awards - Academic ..., accessed August 1, 2025, </w:t>
      </w:r>
      <w:hyperlink r:id="rId31">
        <w:r w:rsidRPr="001B3460">
          <w:rPr>
            <w:rFonts w:ascii="Calibri" w:eastAsia="Google Sans" w:hAnsi="Calibri" w:cs="Calibri"/>
            <w:color w:val="0000EE"/>
            <w:u w:val="single"/>
          </w:rPr>
          <w:t>https://research.com/u/martin-p-paulus</w:t>
        </w:r>
      </w:hyperlink>
    </w:p>
    <w:p w14:paraId="494F23D0"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Identifying Patients with Depression Using Free-text Clinical Documents - ResearchGate, accessed August 1, 2025, </w:t>
      </w:r>
      <w:hyperlink r:id="rId32">
        <w:r w:rsidRPr="001B3460">
          <w:rPr>
            <w:rFonts w:ascii="Calibri" w:eastAsia="Google Sans" w:hAnsi="Calibri" w:cs="Calibri"/>
            <w:color w:val="0000EE"/>
            <w:u w:val="single"/>
          </w:rPr>
          <w:t>https://www.researchgate.net/publication/281815337_Identifying_Patients_with_Depression_Using_Free-text_Clinical_Documents</w:t>
        </w:r>
      </w:hyperlink>
    </w:p>
    <w:p w14:paraId="7C1DCDB5"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Phenotyping Antidepressant Treatment Response with Deep Learning in Electronic Health Records | </w:t>
      </w:r>
      <w:proofErr w:type="spellStart"/>
      <w:r w:rsidRPr="001B3460">
        <w:rPr>
          <w:rFonts w:ascii="Calibri" w:eastAsia="Google Sans" w:hAnsi="Calibri" w:cs="Calibri"/>
        </w:rPr>
        <w:t>medRxiv</w:t>
      </w:r>
      <w:proofErr w:type="spellEnd"/>
      <w:r w:rsidRPr="001B3460">
        <w:rPr>
          <w:rFonts w:ascii="Calibri" w:eastAsia="Google Sans" w:hAnsi="Calibri" w:cs="Calibri"/>
        </w:rPr>
        <w:t xml:space="preserve">, accessed August 1, 2025, </w:t>
      </w:r>
      <w:hyperlink r:id="rId33">
        <w:r w:rsidRPr="001B3460">
          <w:rPr>
            <w:rFonts w:ascii="Calibri" w:eastAsia="Google Sans" w:hAnsi="Calibri" w:cs="Calibri"/>
            <w:color w:val="0000EE"/>
            <w:u w:val="single"/>
          </w:rPr>
          <w:t>https://www.medrxiv.org/content/10.1101/2021.08.04.21261512.full</w:t>
        </w:r>
      </w:hyperlink>
    </w:p>
    <w:p w14:paraId="1E698F38"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Machine Learning in Healthcare: towards Data Structure and Causality - UIC Indigo, accessed August 1, 2025, </w:t>
      </w:r>
      <w:hyperlink r:id="rId34">
        <w:r w:rsidRPr="001B3460">
          <w:rPr>
            <w:rFonts w:ascii="Calibri" w:eastAsia="Google Sans" w:hAnsi="Calibri" w:cs="Calibri"/>
            <w:color w:val="0000EE"/>
            <w:u w:val="single"/>
          </w:rPr>
          <w:t>https://indigo.uic.edu/articles/thesis/Machine_Learning_in_Healthcare_towards_Data_Structure_and_Causality/25392280</w:t>
        </w:r>
      </w:hyperlink>
    </w:p>
    <w:p w14:paraId="52A81190"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Bidirectional Representation Learning from Transformers using Multimodal Electronic Health Record Data to Predict Depression, accessed August 1, 2025, </w:t>
      </w:r>
      <w:hyperlink r:id="rId35">
        <w:r w:rsidRPr="001B3460">
          <w:rPr>
            <w:rFonts w:ascii="Calibri" w:eastAsia="Google Sans" w:hAnsi="Calibri" w:cs="Calibri"/>
            <w:color w:val="0000EE"/>
            <w:u w:val="single"/>
          </w:rPr>
          <w:t>https://pmc.ncbi.nlm.nih.gov/articles/PMC8606118/</w:t>
        </w:r>
      </w:hyperlink>
    </w:p>
    <w:p w14:paraId="14B6A053"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“Double Machine Learning for Causal Inference in High-Dimensional Electronic Health Records” | </w:t>
      </w:r>
      <w:proofErr w:type="spellStart"/>
      <w:r w:rsidRPr="001B3460">
        <w:rPr>
          <w:rFonts w:ascii="Calibri" w:eastAsia="Google Sans" w:hAnsi="Calibri" w:cs="Calibri"/>
        </w:rPr>
        <w:t>medRxiv</w:t>
      </w:r>
      <w:proofErr w:type="spellEnd"/>
      <w:r w:rsidRPr="001B3460">
        <w:rPr>
          <w:rFonts w:ascii="Calibri" w:eastAsia="Google Sans" w:hAnsi="Calibri" w:cs="Calibri"/>
        </w:rPr>
        <w:t xml:space="preserve">, accessed August 1, 2025, </w:t>
      </w:r>
      <w:hyperlink r:id="rId36">
        <w:r w:rsidRPr="001B3460">
          <w:rPr>
            <w:rFonts w:ascii="Calibri" w:eastAsia="Google Sans" w:hAnsi="Calibri" w:cs="Calibri"/>
            <w:color w:val="0000EE"/>
            <w:u w:val="single"/>
          </w:rPr>
          <w:t>https://www.medrxiv.org/content/10.1101/2025.07.21.25331944v1</w:t>
        </w:r>
      </w:hyperlink>
    </w:p>
    <w:p w14:paraId="3D314FEB"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EHR-BERT: A BERT-based model for effective anomaly detection in electronic health records - PubMed, accessed August 1, 2025, </w:t>
      </w:r>
      <w:hyperlink r:id="rId37">
        <w:r w:rsidRPr="001B3460">
          <w:rPr>
            <w:rFonts w:ascii="Calibri" w:eastAsia="Google Sans" w:hAnsi="Calibri" w:cs="Calibri"/>
            <w:color w:val="0000EE"/>
            <w:u w:val="single"/>
          </w:rPr>
          <w:t>https://pubmed.ncbi.nlm.nih.gov/38331082/</w:t>
        </w:r>
      </w:hyperlink>
    </w:p>
    <w:p w14:paraId="27D3B3F4"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CORE-BEHRT: A Carefully Optimized and Rigorously Evaluated ..., accessed August 1, 2025, </w:t>
      </w:r>
      <w:hyperlink r:id="rId38">
        <w:r w:rsidRPr="001B3460">
          <w:rPr>
            <w:rFonts w:ascii="Calibri" w:eastAsia="Google Sans" w:hAnsi="Calibri" w:cs="Calibri"/>
            <w:color w:val="0000EE"/>
            <w:u w:val="single"/>
          </w:rPr>
          <w:t>https://arxiv.org/pdf/2404.15201</w:t>
        </w:r>
      </w:hyperlink>
    </w:p>
    <w:p w14:paraId="7FAB5959"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Large Language Models are Powerful Electronic Health Record Encoders - </w:t>
      </w:r>
      <w:proofErr w:type="spellStart"/>
      <w:r w:rsidRPr="001B3460">
        <w:rPr>
          <w:rFonts w:ascii="Calibri" w:eastAsia="Google Sans" w:hAnsi="Calibri" w:cs="Calibri"/>
        </w:rPr>
        <w:t>arXiv</w:t>
      </w:r>
      <w:proofErr w:type="spellEnd"/>
      <w:r w:rsidRPr="001B3460">
        <w:rPr>
          <w:rFonts w:ascii="Calibri" w:eastAsia="Google Sans" w:hAnsi="Calibri" w:cs="Calibri"/>
        </w:rPr>
        <w:t xml:space="preserve">, accessed August 1, 2025, </w:t>
      </w:r>
      <w:hyperlink r:id="rId39">
        <w:r w:rsidRPr="001B3460">
          <w:rPr>
            <w:rFonts w:ascii="Calibri" w:eastAsia="Google Sans" w:hAnsi="Calibri" w:cs="Calibri"/>
            <w:color w:val="0000EE"/>
            <w:u w:val="single"/>
          </w:rPr>
          <w:t>https://arxiv.org/html/2502.17403v3</w:t>
        </w:r>
      </w:hyperlink>
    </w:p>
    <w:p w14:paraId="6B8FB6FF"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Large Language Models in Mental Health Care: </w:t>
      </w:r>
      <w:proofErr w:type="gramStart"/>
      <w:r w:rsidRPr="001B3460">
        <w:rPr>
          <w:rFonts w:ascii="Calibri" w:eastAsia="Google Sans" w:hAnsi="Calibri" w:cs="Calibri"/>
        </w:rPr>
        <w:t>a</w:t>
      </w:r>
      <w:proofErr w:type="gramEnd"/>
      <w:r w:rsidRPr="001B3460">
        <w:rPr>
          <w:rFonts w:ascii="Calibri" w:eastAsia="Google Sans" w:hAnsi="Calibri" w:cs="Calibri"/>
        </w:rPr>
        <w:t xml:space="preserve"> Scoping Review - </w:t>
      </w:r>
      <w:proofErr w:type="spellStart"/>
      <w:r w:rsidRPr="001B3460">
        <w:rPr>
          <w:rFonts w:ascii="Calibri" w:eastAsia="Google Sans" w:hAnsi="Calibri" w:cs="Calibri"/>
        </w:rPr>
        <w:t>arXiv</w:t>
      </w:r>
      <w:proofErr w:type="spellEnd"/>
      <w:r w:rsidRPr="001B3460">
        <w:rPr>
          <w:rFonts w:ascii="Calibri" w:eastAsia="Google Sans" w:hAnsi="Calibri" w:cs="Calibri"/>
        </w:rPr>
        <w:t xml:space="preserve">, accessed August 1, 2025, </w:t>
      </w:r>
      <w:hyperlink r:id="rId40">
        <w:r w:rsidRPr="001B3460">
          <w:rPr>
            <w:rFonts w:ascii="Calibri" w:eastAsia="Google Sans" w:hAnsi="Calibri" w:cs="Calibri"/>
            <w:color w:val="0000EE"/>
            <w:u w:val="single"/>
          </w:rPr>
          <w:t>https://arxiv.org/html/2401.02984v1</w:t>
        </w:r>
      </w:hyperlink>
    </w:p>
    <w:p w14:paraId="036C44A9"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Applying natural language processing to patient messages to identify depression concerns in cancer patients - PMC, accessed August 1, 2025, </w:t>
      </w:r>
      <w:hyperlink r:id="rId41">
        <w:r w:rsidRPr="001B3460">
          <w:rPr>
            <w:rFonts w:ascii="Calibri" w:eastAsia="Google Sans" w:hAnsi="Calibri" w:cs="Calibri"/>
            <w:color w:val="0000EE"/>
            <w:u w:val="single"/>
          </w:rPr>
          <w:t>https://pmc.ncbi.nlm.nih.gov/articles/PMC11413442/</w:t>
        </w:r>
      </w:hyperlink>
    </w:p>
    <w:p w14:paraId="6B92A9C9"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Can AI Relate: Testing Large Language Model Response for Mental Health Support - </w:t>
      </w:r>
      <w:proofErr w:type="spellStart"/>
      <w:r w:rsidRPr="001B3460">
        <w:rPr>
          <w:rFonts w:ascii="Calibri" w:eastAsia="Google Sans" w:hAnsi="Calibri" w:cs="Calibri"/>
        </w:rPr>
        <w:t>arXiv</w:t>
      </w:r>
      <w:proofErr w:type="spellEnd"/>
      <w:r w:rsidRPr="001B3460">
        <w:rPr>
          <w:rFonts w:ascii="Calibri" w:eastAsia="Google Sans" w:hAnsi="Calibri" w:cs="Calibri"/>
        </w:rPr>
        <w:t xml:space="preserve">, accessed August 1, 2025, </w:t>
      </w:r>
      <w:hyperlink r:id="rId42">
        <w:r w:rsidRPr="001B3460">
          <w:rPr>
            <w:rFonts w:ascii="Calibri" w:eastAsia="Google Sans" w:hAnsi="Calibri" w:cs="Calibri"/>
            <w:color w:val="0000EE"/>
            <w:u w:val="single"/>
          </w:rPr>
          <w:t>https://arxiv.org/html/2405.12021v2</w:t>
        </w:r>
      </w:hyperlink>
    </w:p>
    <w:p w14:paraId="74886C2B"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Testing and Evaluation of Generative Large Language Models in Electronic Health Record Applications: A Systematic Review - PubMed, accessed August 1, 2025, </w:t>
      </w:r>
      <w:hyperlink r:id="rId43">
        <w:r w:rsidRPr="001B3460">
          <w:rPr>
            <w:rFonts w:ascii="Calibri" w:eastAsia="Google Sans" w:hAnsi="Calibri" w:cs="Calibri"/>
            <w:color w:val="0000EE"/>
            <w:u w:val="single"/>
          </w:rPr>
          <w:t>https://pubmed.ncbi.nlm.nih.gov/39228726/</w:t>
        </w:r>
      </w:hyperlink>
    </w:p>
    <w:p w14:paraId="30AA9A0B"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Leveraging Large Language Models for Accurate Retrieval ... - JMIR AI, accessed August 1, 2025, </w:t>
      </w:r>
      <w:hyperlink r:id="rId44">
        <w:r w:rsidRPr="001B3460">
          <w:rPr>
            <w:rFonts w:ascii="Calibri" w:eastAsia="Google Sans" w:hAnsi="Calibri" w:cs="Calibri"/>
            <w:color w:val="0000EE"/>
            <w:u w:val="single"/>
          </w:rPr>
          <w:t>https://ai.jmir.org/2025/1/e68776</w:t>
        </w:r>
      </w:hyperlink>
    </w:p>
    <w:p w14:paraId="1BE46B8B"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Comparing Diagnostic Accuracy of Clinical Professionals and Large Language Models: Systematic Review and </w:t>
      </w:r>
      <w:r w:rsidRPr="001B3460">
        <w:rPr>
          <w:rFonts w:ascii="Calibri" w:eastAsia="Google Sans" w:hAnsi="Calibri" w:cs="Calibri"/>
        </w:rPr>
        <w:lastRenderedPageBreak/>
        <w:t xml:space="preserve">Meta-Analysis - PMC, accessed August 1, 2025, </w:t>
      </w:r>
      <w:hyperlink r:id="rId45">
        <w:r w:rsidRPr="001B3460">
          <w:rPr>
            <w:rFonts w:ascii="Calibri" w:eastAsia="Google Sans" w:hAnsi="Calibri" w:cs="Calibri"/>
            <w:color w:val="0000EE"/>
            <w:u w:val="single"/>
          </w:rPr>
          <w:t>https://pmc.ncbi.nlm.nih.gov/articles/PMC12047852/</w:t>
        </w:r>
      </w:hyperlink>
    </w:p>
    <w:p w14:paraId="24FE7B48"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A Review of Large Language Models in Medical Education, Clinical Decision Support, and Healthcare Administration - PMC - PubMed Central, accessed August 1, 2025, </w:t>
      </w:r>
      <w:hyperlink r:id="rId46">
        <w:r w:rsidRPr="001B3460">
          <w:rPr>
            <w:rFonts w:ascii="Calibri" w:eastAsia="Google Sans" w:hAnsi="Calibri" w:cs="Calibri"/>
            <w:color w:val="0000EE"/>
            <w:u w:val="single"/>
          </w:rPr>
          <w:t>https://pmc.ncbi.nlm.nih.gov/articles/PMC11942098/</w:t>
        </w:r>
      </w:hyperlink>
    </w:p>
    <w:p w14:paraId="51CC2D15"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Large Language Models for Disease Diagnosis: A Scoping Review - </w:t>
      </w:r>
      <w:proofErr w:type="spellStart"/>
      <w:r w:rsidRPr="001B3460">
        <w:rPr>
          <w:rFonts w:ascii="Calibri" w:eastAsia="Google Sans" w:hAnsi="Calibri" w:cs="Calibri"/>
        </w:rPr>
        <w:t>arXiv</w:t>
      </w:r>
      <w:proofErr w:type="spellEnd"/>
      <w:r w:rsidRPr="001B3460">
        <w:rPr>
          <w:rFonts w:ascii="Calibri" w:eastAsia="Google Sans" w:hAnsi="Calibri" w:cs="Calibri"/>
        </w:rPr>
        <w:t xml:space="preserve">, accessed August 1, 2025, </w:t>
      </w:r>
      <w:hyperlink r:id="rId47">
        <w:r w:rsidRPr="001B3460">
          <w:rPr>
            <w:rFonts w:ascii="Calibri" w:eastAsia="Google Sans" w:hAnsi="Calibri" w:cs="Calibri"/>
            <w:color w:val="0000EE"/>
            <w:u w:val="single"/>
          </w:rPr>
          <w:t>https://arxiv.org/html/2409.00097v3</w:t>
        </w:r>
      </w:hyperlink>
    </w:p>
    <w:p w14:paraId="20EA53C0"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Large Language Models for Healthcare Text Classification: A Systematic Review - </w:t>
      </w:r>
      <w:proofErr w:type="spellStart"/>
      <w:r w:rsidRPr="001B3460">
        <w:rPr>
          <w:rFonts w:ascii="Calibri" w:eastAsia="Google Sans" w:hAnsi="Calibri" w:cs="Calibri"/>
        </w:rPr>
        <w:t>arXiv</w:t>
      </w:r>
      <w:proofErr w:type="spellEnd"/>
      <w:r w:rsidRPr="001B3460">
        <w:rPr>
          <w:rFonts w:ascii="Calibri" w:eastAsia="Google Sans" w:hAnsi="Calibri" w:cs="Calibri"/>
        </w:rPr>
        <w:t xml:space="preserve">, accessed August 1, 2025, </w:t>
      </w:r>
      <w:hyperlink r:id="rId48">
        <w:r w:rsidRPr="001B3460">
          <w:rPr>
            <w:rFonts w:ascii="Calibri" w:eastAsia="Google Sans" w:hAnsi="Calibri" w:cs="Calibri"/>
            <w:color w:val="0000EE"/>
            <w:u w:val="single"/>
          </w:rPr>
          <w:t>https://arxiv.org/html/2503.01159v1</w:t>
        </w:r>
      </w:hyperlink>
    </w:p>
    <w:p w14:paraId="589BAD69"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Explainable Transformer Prototypes for Medical Diagnoses - </w:t>
      </w:r>
      <w:proofErr w:type="spellStart"/>
      <w:r w:rsidRPr="001B3460">
        <w:rPr>
          <w:rFonts w:ascii="Calibri" w:eastAsia="Google Sans" w:hAnsi="Calibri" w:cs="Calibri"/>
        </w:rPr>
        <w:t>arXiv</w:t>
      </w:r>
      <w:proofErr w:type="spellEnd"/>
      <w:r w:rsidRPr="001B3460">
        <w:rPr>
          <w:rFonts w:ascii="Calibri" w:eastAsia="Google Sans" w:hAnsi="Calibri" w:cs="Calibri"/>
        </w:rPr>
        <w:t xml:space="preserve">, accessed August 1, 2025, </w:t>
      </w:r>
      <w:hyperlink r:id="rId49">
        <w:r w:rsidRPr="001B3460">
          <w:rPr>
            <w:rFonts w:ascii="Calibri" w:eastAsia="Google Sans" w:hAnsi="Calibri" w:cs="Calibri"/>
            <w:color w:val="0000EE"/>
            <w:u w:val="single"/>
          </w:rPr>
          <w:t>https://arxiv.org/html/2403.06961v1</w:t>
        </w:r>
      </w:hyperlink>
    </w:p>
    <w:p w14:paraId="67588BFB"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[2503.09535] Evaluating Visual Explanations of Attention Maps for Transformer-based Medical Imaging - </w:t>
      </w:r>
      <w:proofErr w:type="spellStart"/>
      <w:r w:rsidRPr="001B3460">
        <w:rPr>
          <w:rFonts w:ascii="Calibri" w:eastAsia="Google Sans" w:hAnsi="Calibri" w:cs="Calibri"/>
        </w:rPr>
        <w:t>arXiv</w:t>
      </w:r>
      <w:proofErr w:type="spellEnd"/>
      <w:r w:rsidRPr="001B3460">
        <w:rPr>
          <w:rFonts w:ascii="Calibri" w:eastAsia="Google Sans" w:hAnsi="Calibri" w:cs="Calibri"/>
        </w:rPr>
        <w:t xml:space="preserve">, accessed August 1, 2025, </w:t>
      </w:r>
      <w:hyperlink r:id="rId50">
        <w:r w:rsidRPr="001B3460">
          <w:rPr>
            <w:rFonts w:ascii="Calibri" w:eastAsia="Google Sans" w:hAnsi="Calibri" w:cs="Calibri"/>
            <w:color w:val="0000EE"/>
            <w:u w:val="single"/>
          </w:rPr>
          <w:t>https://arxiv.org/abs/2503.09535</w:t>
        </w:r>
      </w:hyperlink>
    </w:p>
    <w:p w14:paraId="4AFEF92B"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A Comprehensive Survey of Synthetic Tabular Data Generation - </w:t>
      </w:r>
      <w:proofErr w:type="spellStart"/>
      <w:r w:rsidRPr="001B3460">
        <w:rPr>
          <w:rFonts w:ascii="Calibri" w:eastAsia="Google Sans" w:hAnsi="Calibri" w:cs="Calibri"/>
        </w:rPr>
        <w:t>arXiv</w:t>
      </w:r>
      <w:proofErr w:type="spellEnd"/>
      <w:r w:rsidRPr="001B3460">
        <w:rPr>
          <w:rFonts w:ascii="Calibri" w:eastAsia="Google Sans" w:hAnsi="Calibri" w:cs="Calibri"/>
        </w:rPr>
        <w:t xml:space="preserve">, accessed August 1, 2025, </w:t>
      </w:r>
      <w:hyperlink r:id="rId51">
        <w:r w:rsidRPr="001B3460">
          <w:rPr>
            <w:rFonts w:ascii="Calibri" w:eastAsia="Google Sans" w:hAnsi="Calibri" w:cs="Calibri"/>
            <w:color w:val="0000EE"/>
            <w:u w:val="single"/>
          </w:rPr>
          <w:t>https://arxiv.org/html/2504.16506v3</w:t>
        </w:r>
      </w:hyperlink>
    </w:p>
    <w:p w14:paraId="32A9D06C"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Generating Synthetic Electronic Health Record Data Using Generative Adversarial Networks: Tutorial - JMIR AI, accessed August 1, 2025, </w:t>
      </w:r>
      <w:hyperlink r:id="rId52">
        <w:r w:rsidRPr="001B3460">
          <w:rPr>
            <w:rFonts w:ascii="Calibri" w:eastAsia="Google Sans" w:hAnsi="Calibri" w:cs="Calibri"/>
            <w:color w:val="0000EE"/>
            <w:u w:val="single"/>
          </w:rPr>
          <w:t>https://ai.jmir.org/2024/1/e52615/</w:t>
        </w:r>
      </w:hyperlink>
    </w:p>
    <w:p w14:paraId="37AD84FE" w14:textId="77777777" w:rsidR="00BA42C7" w:rsidRPr="001B3460" w:rsidRDefault="00000000" w:rsidP="001B3460">
      <w:pPr>
        <w:numPr>
          <w:ilvl w:val="0"/>
          <w:numId w:val="4"/>
        </w:numPr>
        <w:pBdr>
          <w:top w:val="nil"/>
          <w:left w:val="nil"/>
          <w:bottom w:val="nil"/>
          <w:right w:val="nil"/>
          <w:between w:val="nil"/>
        </w:pBdr>
        <w:spacing w:after="120"/>
        <w:rPr>
          <w:rFonts w:ascii="Calibri" w:hAnsi="Calibri" w:cs="Calibri"/>
        </w:rPr>
      </w:pPr>
      <w:r w:rsidRPr="001B3460">
        <w:rPr>
          <w:rFonts w:ascii="Calibri" w:eastAsia="Google Sans" w:hAnsi="Calibri" w:cs="Calibri"/>
        </w:rPr>
        <w:t xml:space="preserve">Large language models and synthetic health data: progress and prospects - Oxford Academic, accessed August 1, 2025, </w:t>
      </w:r>
      <w:hyperlink r:id="rId53">
        <w:r w:rsidRPr="001B3460">
          <w:rPr>
            <w:rFonts w:ascii="Calibri" w:eastAsia="Google Sans" w:hAnsi="Calibri" w:cs="Calibri"/>
            <w:color w:val="0000EE"/>
            <w:u w:val="single"/>
          </w:rPr>
          <w:t>https://academic.oup.com/jamiaopen/article-pdf/7/4/ooae114/60129986/ooae114.pdf</w:t>
        </w:r>
      </w:hyperlink>
    </w:p>
    <w:sectPr w:rsidR="00BA42C7" w:rsidRPr="001B3460" w:rsidSect="001B3460">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oogle Sans">
    <w:panose1 w:val="020B0604020202020204"/>
    <w:charset w:val="00"/>
    <w:family w:val="auto"/>
    <w:pitch w:val="default"/>
  </w:font>
  <w:font w:name="Google Sans Text">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3AD7"/>
    <w:multiLevelType w:val="multilevel"/>
    <w:tmpl w:val="0FAA480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8DB6D34"/>
    <w:multiLevelType w:val="multilevel"/>
    <w:tmpl w:val="86DC2BC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54E0BE8"/>
    <w:multiLevelType w:val="multilevel"/>
    <w:tmpl w:val="EC0C30D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5952B59"/>
    <w:multiLevelType w:val="multilevel"/>
    <w:tmpl w:val="4E268E0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AAB4CF9"/>
    <w:multiLevelType w:val="multilevel"/>
    <w:tmpl w:val="6802AD4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E002069"/>
    <w:multiLevelType w:val="multilevel"/>
    <w:tmpl w:val="1B30750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5FF5E02"/>
    <w:multiLevelType w:val="multilevel"/>
    <w:tmpl w:val="953CBF7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9DB7D48"/>
    <w:multiLevelType w:val="multilevel"/>
    <w:tmpl w:val="0908C46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EAA7A5D"/>
    <w:multiLevelType w:val="multilevel"/>
    <w:tmpl w:val="2E2215C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F037BA7"/>
    <w:multiLevelType w:val="multilevel"/>
    <w:tmpl w:val="0DAE150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5465015B"/>
    <w:multiLevelType w:val="multilevel"/>
    <w:tmpl w:val="375C2AB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8CF4940"/>
    <w:multiLevelType w:val="multilevel"/>
    <w:tmpl w:val="CE1A3AC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5C1C748C"/>
    <w:multiLevelType w:val="multilevel"/>
    <w:tmpl w:val="0586307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DF141EA"/>
    <w:multiLevelType w:val="multilevel"/>
    <w:tmpl w:val="CC66DF6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647A5E2D"/>
    <w:multiLevelType w:val="multilevel"/>
    <w:tmpl w:val="3CA2870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9242D29"/>
    <w:multiLevelType w:val="multilevel"/>
    <w:tmpl w:val="50F2E8F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7B302E0E"/>
    <w:multiLevelType w:val="multilevel"/>
    <w:tmpl w:val="F63E589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7E764F84"/>
    <w:multiLevelType w:val="multilevel"/>
    <w:tmpl w:val="7C9602D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515803">
    <w:abstractNumId w:val="3"/>
  </w:num>
  <w:num w:numId="2" w16cid:durableId="1828475813">
    <w:abstractNumId w:val="17"/>
  </w:num>
  <w:num w:numId="3" w16cid:durableId="1440642438">
    <w:abstractNumId w:val="9"/>
  </w:num>
  <w:num w:numId="4" w16cid:durableId="1505051527">
    <w:abstractNumId w:val="15"/>
  </w:num>
  <w:num w:numId="5" w16cid:durableId="1483157578">
    <w:abstractNumId w:val="8"/>
  </w:num>
  <w:num w:numId="6" w16cid:durableId="482039626">
    <w:abstractNumId w:val="5"/>
  </w:num>
  <w:num w:numId="7" w16cid:durableId="1528055275">
    <w:abstractNumId w:val="7"/>
  </w:num>
  <w:num w:numId="8" w16cid:durableId="484325593">
    <w:abstractNumId w:val="4"/>
  </w:num>
  <w:num w:numId="9" w16cid:durableId="1212185492">
    <w:abstractNumId w:val="6"/>
  </w:num>
  <w:num w:numId="10" w16cid:durableId="483159264">
    <w:abstractNumId w:val="11"/>
  </w:num>
  <w:num w:numId="11" w16cid:durableId="389578305">
    <w:abstractNumId w:val="14"/>
  </w:num>
  <w:num w:numId="12" w16cid:durableId="1657369401">
    <w:abstractNumId w:val="12"/>
  </w:num>
  <w:num w:numId="13" w16cid:durableId="1948810039">
    <w:abstractNumId w:val="13"/>
  </w:num>
  <w:num w:numId="14" w16cid:durableId="934560444">
    <w:abstractNumId w:val="0"/>
  </w:num>
  <w:num w:numId="15" w16cid:durableId="282657995">
    <w:abstractNumId w:val="16"/>
  </w:num>
  <w:num w:numId="16" w16cid:durableId="1074088475">
    <w:abstractNumId w:val="1"/>
  </w:num>
  <w:num w:numId="17" w16cid:durableId="684677671">
    <w:abstractNumId w:val="10"/>
  </w:num>
  <w:num w:numId="18" w16cid:durableId="1376853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2C7"/>
    <w:rsid w:val="001B3460"/>
    <w:rsid w:val="001D08AB"/>
    <w:rsid w:val="005622BE"/>
    <w:rsid w:val="00BA42C7"/>
    <w:rsid w:val="00E50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9AE918"/>
  <w15:docId w15:val="{C0B29932-3492-4946-B833-CD2798C28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styleId="PlainTable2">
    <w:name w:val="Plain Table 2"/>
    <w:basedOn w:val="TableNormal"/>
    <w:uiPriority w:val="42"/>
    <w:rsid w:val="001D08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bohrium.com/paper-details/machine-learning-generalizability-across-healthcare-settings-insights-from-multi-site-covid-19-screening/817358630679478273-10669" TargetMode="External"/><Relationship Id="rId18" Type="http://schemas.openxmlformats.org/officeDocument/2006/relationships/hyperlink" Target="https://www.researchgate.net/publication/389916943_Human_Digital_Twins_in_Personalized_Healthcare_An_Overview_and_Future_Perspectives" TargetMode="External"/><Relationship Id="rId26" Type="http://schemas.openxmlformats.org/officeDocument/2006/relationships/hyperlink" Target="https://xugroup.eng.ucsd.edu/wp-content/uploads/2024/11/94.pdf" TargetMode="External"/><Relationship Id="rId39" Type="http://schemas.openxmlformats.org/officeDocument/2006/relationships/hyperlink" Target="https://arxiv.org/html/2502.17403v3" TargetMode="External"/><Relationship Id="rId21" Type="http://schemas.openxmlformats.org/officeDocument/2006/relationships/hyperlink" Target="https://journals.plos.org/digitalhealth/article?id=10.1371/journal.pdig.0000721" TargetMode="External"/><Relationship Id="rId34" Type="http://schemas.openxmlformats.org/officeDocument/2006/relationships/hyperlink" Target="https://indigo.uic.edu/articles/thesis/Machine_Learning_in_Healthcare_towards_Data_Structure_and_Causality/25392280" TargetMode="External"/><Relationship Id="rId42" Type="http://schemas.openxmlformats.org/officeDocument/2006/relationships/hyperlink" Target="https://arxiv.org/html/2405.12021v2" TargetMode="External"/><Relationship Id="rId47" Type="http://schemas.openxmlformats.org/officeDocument/2006/relationships/hyperlink" Target="https://arxiv.org/html/2409.00097v3" TargetMode="External"/><Relationship Id="rId50" Type="http://schemas.openxmlformats.org/officeDocument/2006/relationships/hyperlink" Target="https://arxiv.org/abs/2503.09535" TargetMode="External"/><Relationship Id="rId55" Type="http://schemas.openxmlformats.org/officeDocument/2006/relationships/theme" Target="theme/theme1.xml"/><Relationship Id="rId7" Type="http://schemas.openxmlformats.org/officeDocument/2006/relationships/hyperlink" Target="https://timesofindia.indiatimes.com/city/lucknow/digital-twin-tech-to-transform-surgical-decisions-personalised-healthcare-doc/articleshow/122927917.cms" TargetMode="External"/><Relationship Id="rId2" Type="http://schemas.openxmlformats.org/officeDocument/2006/relationships/styles" Target="styles.xml"/><Relationship Id="rId16" Type="http://schemas.openxmlformats.org/officeDocument/2006/relationships/hyperlink" Target="https://pmc.ncbi.nlm.nih.gov/articles/PMC11652181/" TargetMode="External"/><Relationship Id="rId29" Type="http://schemas.openxmlformats.org/officeDocument/2006/relationships/hyperlink" Target="https://medinform.jmir.org/2025/1/e53542" TargetMode="External"/><Relationship Id="rId11" Type="http://schemas.openxmlformats.org/officeDocument/2006/relationships/hyperlink" Target="https://pubmed.ncbi.nlm.nih.gov/23553091/" TargetMode="External"/><Relationship Id="rId24" Type="http://schemas.openxmlformats.org/officeDocument/2006/relationships/hyperlink" Target="https://www.mdpi.com/2076-3417/13/13/7940" TargetMode="External"/><Relationship Id="rId32" Type="http://schemas.openxmlformats.org/officeDocument/2006/relationships/hyperlink" Target="https://www.researchgate.net/publication/281815337_Identifying_Patients_with_Depression_Using_Free-text_Clinical_Documents" TargetMode="External"/><Relationship Id="rId37" Type="http://schemas.openxmlformats.org/officeDocument/2006/relationships/hyperlink" Target="https://pubmed.ncbi.nlm.nih.gov/38331082/" TargetMode="External"/><Relationship Id="rId40" Type="http://schemas.openxmlformats.org/officeDocument/2006/relationships/hyperlink" Target="https://arxiv.org/html/2401.02984v1" TargetMode="External"/><Relationship Id="rId45" Type="http://schemas.openxmlformats.org/officeDocument/2006/relationships/hyperlink" Target="https://pmc.ncbi.nlm.nih.gov/articles/PMC12047852/" TargetMode="External"/><Relationship Id="rId53" Type="http://schemas.openxmlformats.org/officeDocument/2006/relationships/hyperlink" Target="https://academic.oup.com/jamiaopen/article-pdf/7/4/ooae114/60129986/ooae114.pdf" TargetMode="External"/><Relationship Id="rId5" Type="http://schemas.openxmlformats.org/officeDocument/2006/relationships/hyperlink" Target="https://arxiv.org/html/2503.11944v1" TargetMode="External"/><Relationship Id="rId10" Type="http://schemas.openxmlformats.org/officeDocument/2006/relationships/hyperlink" Target="https://pubmed.ncbi.nlm.nih.gov/33661740/" TargetMode="External"/><Relationship Id="rId19" Type="http://schemas.openxmlformats.org/officeDocument/2006/relationships/hyperlink" Target="https://vivatechnology.com/news/digital-twins-in-healthcare-the-future-of-personalized-medicine" TargetMode="External"/><Relationship Id="rId31" Type="http://schemas.openxmlformats.org/officeDocument/2006/relationships/hyperlink" Target="https://research.com/u/martin-p-paulus" TargetMode="External"/><Relationship Id="rId44" Type="http://schemas.openxmlformats.org/officeDocument/2006/relationships/hyperlink" Target="https://ai.jmir.org/2025/1/e68776" TargetMode="External"/><Relationship Id="rId52" Type="http://schemas.openxmlformats.org/officeDocument/2006/relationships/hyperlink" Target="https://ai.jmir.org/2024/1/e52615/" TargetMode="External"/><Relationship Id="rId4" Type="http://schemas.openxmlformats.org/officeDocument/2006/relationships/webSettings" Target="webSettings.xml"/><Relationship Id="rId9" Type="http://schemas.openxmlformats.org/officeDocument/2006/relationships/hyperlink" Target="https://arxiv.org/html/2507.18583v1" TargetMode="External"/><Relationship Id="rId14" Type="http://schemas.openxmlformats.org/officeDocument/2006/relationships/hyperlink" Target="https://arxiv.org/pdf/2401.02984" TargetMode="External"/><Relationship Id="rId22" Type="http://schemas.openxmlformats.org/officeDocument/2006/relationships/hyperlink" Target="https://arxiv.org/abs/2305.17588" TargetMode="External"/><Relationship Id="rId27" Type="http://schemas.openxmlformats.org/officeDocument/2006/relationships/hyperlink" Target="https://www.siemens-healthineers.com/perspectives/digital-patient-twin" TargetMode="External"/><Relationship Id="rId30" Type="http://schemas.openxmlformats.org/officeDocument/2006/relationships/hyperlink" Target="https://adaa.org/about-adaa/press-room/bios/martin-paulus" TargetMode="External"/><Relationship Id="rId35" Type="http://schemas.openxmlformats.org/officeDocument/2006/relationships/hyperlink" Target="https://pmc.ncbi.nlm.nih.gov/articles/PMC8606118/" TargetMode="External"/><Relationship Id="rId43" Type="http://schemas.openxmlformats.org/officeDocument/2006/relationships/hyperlink" Target="https://pubmed.ncbi.nlm.nih.gov/39228726/" TargetMode="External"/><Relationship Id="rId48" Type="http://schemas.openxmlformats.org/officeDocument/2006/relationships/hyperlink" Target="https://arxiv.org/html/2503.01159v1" TargetMode="External"/><Relationship Id="rId8" Type="http://schemas.openxmlformats.org/officeDocument/2006/relationships/hyperlink" Target="https://utulsa.edu/people/martin-paulus/" TargetMode="External"/><Relationship Id="rId51" Type="http://schemas.openxmlformats.org/officeDocument/2006/relationships/hyperlink" Target="https://arxiv.org/html/2504.16506v3" TargetMode="External"/><Relationship Id="rId3" Type="http://schemas.openxmlformats.org/officeDocument/2006/relationships/settings" Target="settings.xml"/><Relationship Id="rId12" Type="http://schemas.openxmlformats.org/officeDocument/2006/relationships/hyperlink" Target="https://www.jmir.org/2025/1/e66910/PDF" TargetMode="External"/><Relationship Id="rId17" Type="http://schemas.openxmlformats.org/officeDocument/2006/relationships/hyperlink" Target="https://www.mdpi.com/2306-5354/12/7/687" TargetMode="External"/><Relationship Id="rId25" Type="http://schemas.openxmlformats.org/officeDocument/2006/relationships/hyperlink" Target="https://www.mdpi.com/2075-4426/14/11/1101" TargetMode="External"/><Relationship Id="rId33" Type="http://schemas.openxmlformats.org/officeDocument/2006/relationships/hyperlink" Target="https://www.medrxiv.org/content/10.1101/2021.08.04.21261512.full" TargetMode="External"/><Relationship Id="rId38" Type="http://schemas.openxmlformats.org/officeDocument/2006/relationships/hyperlink" Target="https://arxiv.org/pdf/2404.15201" TargetMode="External"/><Relationship Id="rId46" Type="http://schemas.openxmlformats.org/officeDocument/2006/relationships/hyperlink" Target="https://pmc.ncbi.nlm.nih.gov/articles/PMC11942098/" TargetMode="External"/><Relationship Id="rId20" Type="http://schemas.openxmlformats.org/officeDocument/2006/relationships/hyperlink" Target="https://pmc.ncbi.nlm.nih.gov/articles/PMC11790099/" TargetMode="External"/><Relationship Id="rId41" Type="http://schemas.openxmlformats.org/officeDocument/2006/relationships/hyperlink" Target="https://pmc.ncbi.nlm.nih.gov/articles/PMC11413442/"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mphealth.duke.edu/digital-twins-in-healthcare-revolutionizing-patient-care-at-duke/" TargetMode="External"/><Relationship Id="rId15" Type="http://schemas.openxmlformats.org/officeDocument/2006/relationships/hyperlink" Target="https://pmc.ncbi.nlm.nih.gov/articles/PMC11791122/" TargetMode="External"/><Relationship Id="rId23" Type="http://schemas.openxmlformats.org/officeDocument/2006/relationships/hyperlink" Target="https://pmc.ncbi.nlm.nih.gov/articles/PMC10791964/" TargetMode="External"/><Relationship Id="rId28" Type="http://schemas.openxmlformats.org/officeDocument/2006/relationships/hyperlink" Target="http://www.fortunejournals.com/articles/digital-twins-in-healthcare-a-survey-of-current-methods.html" TargetMode="External"/><Relationship Id="rId36" Type="http://schemas.openxmlformats.org/officeDocument/2006/relationships/hyperlink" Target="https://www.medrxiv.org/content/10.1101/2025.07.21.25331944v1" TargetMode="External"/><Relationship Id="rId49" Type="http://schemas.openxmlformats.org/officeDocument/2006/relationships/hyperlink" Target="https://arxiv.org/html/2403.06961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10245</Words>
  <Characters>58399</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Paulus</cp:lastModifiedBy>
  <cp:revision>4</cp:revision>
  <dcterms:created xsi:type="dcterms:W3CDTF">2025-08-01T14:56:00Z</dcterms:created>
  <dcterms:modified xsi:type="dcterms:W3CDTF">2025-08-01T15:15:00Z</dcterms:modified>
</cp:coreProperties>
</file>