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岐黄脉证项目简要介绍</w:t>
      </w:r>
    </w:p>
    <w:p>
      <w:pPr>
        <w:pStyle w:val="Subtitle"/>
      </w:pPr>
      <w:r>
        <w:t>中医药心血管 RAG 研究台</w:t>
      </w:r>
    </w:p>
    <w:p>
      <w:pPr>
        <w:pStyle w:val="Heading1"/>
      </w:pPr>
      <w:r>
        <w:t>一、项目简介</w:t>
      </w:r>
    </w:p>
    <w:p>
      <w:r>
        <w:t>本项目名为“岐黄脉证”，是一个面向中医药和心血管相关资料的检索问答原型。用户可以查询文献、提出问题，并查看回答所依据的原文和来源。项目重点是展示“先查资料，再由大模型回答”的完整过程，用于毕业设计研究与演示，不提供临床诊断或处方。</w:t>
      </w:r>
    </w:p>
    <w:p>
      <w:pPr>
        <w:pStyle w:val="Heading1"/>
      </w:pPr>
      <w:r>
        <w:t>二、项目背景</w:t>
      </w:r>
    </w:p>
    <w:p>
      <w:r>
        <w:t>相关健康资料分散在不同网站，人工查找和核对比较费时；单独向大模型提问，又不容易确认答案依据。因此，项目把有明确来源的资料整理成知识库，让系统先找到相关原文，再组织回答，方便用户回到资料中核对。</w:t>
      </w:r>
    </w:p>
    <w:p>
      <w:pPr>
        <w:pStyle w:val="Heading1"/>
      </w:pPr>
      <w:r>
        <w:t>三、项目主要功能</w:t>
      </w:r>
    </w:p>
    <w:p>
      <w:pPr>
        <w:pStyle w:val="ListBullet"/>
      </w:pPr>
      <w:r/>
      <w:r>
        <w:rPr>
          <w:rFonts w:ascii="Arial" w:hAnsi="Arial" w:eastAsia="黑体"/>
          <w:b/>
        </w:rPr>
        <w:t>前端工作台。</w:t>
      </w:r>
      <w:r>
        <w:t xml:space="preserve"> 系统包含研究总览、知识库、RAG 工作台、评估实验和数据流水线五个页面。用户可以直接进入，目前没有登录和角色权限功能。</w:t>
      </w:r>
    </w:p>
    <w:p>
      <w:pPr>
        <w:pStyle w:val="ListBullet"/>
      </w:pPr>
      <w:r/>
      <w:r>
        <w:rPr>
          <w:rFonts w:ascii="Arial" w:hAnsi="Arial" w:eastAsia="黑体"/>
          <w:b/>
        </w:rPr>
        <w:t>文本导入与处理。</w:t>
      </w:r>
      <w:r>
        <w:t xml:space="preserve"> 填写来源、授权信息并粘贴正文后，系统进行文本切分、保存和索引更新。当前支持文本导入，不支持直接解析 PDF、Word 或扫描件。</w:t>
      </w:r>
    </w:p>
    <w:p>
      <w:pPr>
        <w:pStyle w:val="ListBullet"/>
      </w:pPr>
      <w:r/>
      <w:r>
        <w:rPr>
          <w:rFonts w:ascii="Arial" w:hAnsi="Arial" w:eastAsia="黑体"/>
          <w:b/>
        </w:rPr>
        <w:t>知识库管理。</w:t>
      </w:r>
      <w:r>
        <w:t xml:space="preserve"> 内置 4 份公开资料、11 条原文摘录，来自 WHO 和美国 NIH/NCCIH。可以筛选知识片段，查看来源、章节和原文链接；资料没有被标为已获临床证据评级。</w:t>
      </w:r>
    </w:p>
    <w:p>
      <w:pPr>
        <w:pStyle w:val="ListBullet"/>
      </w:pPr>
      <w:r/>
      <w:r>
        <w:rPr>
          <w:rFonts w:ascii="Arial" w:hAnsi="Arial" w:eastAsia="黑体"/>
          <w:b/>
        </w:rPr>
        <w:t>RAG 检索。</w:t>
      </w:r>
      <w:r>
        <w:t xml:space="preserve"> 支持文本相似度检索、关键词与相似度混合检索，以及增加证据约束的版本。页面显示检索片段、候选数量和处理耗时。</w:t>
      </w:r>
    </w:p>
    <w:p>
      <w:pPr>
        <w:pStyle w:val="ListBullet"/>
      </w:pPr>
      <w:r/>
      <w:r>
        <w:rPr>
          <w:rFonts w:ascii="Arial" w:hAnsi="Arial" w:eastAsia="黑体"/>
          <w:b/>
        </w:rPr>
        <w:t>大模型与对话。</w:t>
      </w:r>
      <w:r>
        <w:t xml:space="preserve"> 已接入 DeepSeek，能够结合检索片段生成带引用的中文回答；未启用模型时返回原文摘录。目前是单轮问答，没有历史会话保存或多轮上下文记忆。</w:t>
      </w:r>
    </w:p>
    <w:p>
      <w:pPr>
        <w:pStyle w:val="ListBullet"/>
      </w:pPr>
      <w:r/>
      <w:r>
        <w:rPr>
          <w:rFonts w:ascii="Arial" w:hAnsi="Arial" w:eastAsia="黑体"/>
          <w:b/>
        </w:rPr>
        <w:t>版本对比与评估。</w:t>
      </w:r>
      <w:r>
        <w:t xml:space="preserve"> 同一问题可进行四版本对比，还可用 12 条内置问题检查检索命中和拒答表现。V0 只输出固定提示，不是大模型直接回答；对比与评估不使用工作台的会话模型配置。</w:t>
      </w:r>
    </w:p>
    <w:p>
      <w:pPr>
        <w:pStyle w:val="ListBullet"/>
      </w:pPr>
      <w:r/>
      <w:r>
        <w:rPr>
          <w:rFonts w:ascii="Arial" w:hAnsi="Arial" w:eastAsia="黑体"/>
          <w:b/>
        </w:rPr>
        <w:t>安全边界。</w:t>
      </w:r>
      <w:r>
        <w:t xml:space="preserve"> 对规则识别到的急症、个体处方等问题进行拦截，模型生成前还会检查证据是否充分。这是有限的规则防护，不能替代医生判断。</w:t>
      </w:r>
    </w:p>
    <w:p>
      <w:pPr>
        <w:keepNext/>
        <w:spacing w:line="240" w:lineRule="auto" w:before="80" w:after="60"/>
      </w:pPr>
      <w:r>
        <w:drawing>
          <wp:inline xmlns:a="http://schemas.openxmlformats.org/drawingml/2006/main" xmlns:pic="http://schemas.openxmlformats.org/drawingml/2006/picture">
            <wp:extent cx="6120000" cy="2842343"/>
            <wp:docPr id="1" name="Picture 1" descr="知识库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nowl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知识库页面局部：文档来源与“高血压”相关原文片段。</w:t>
      </w:r>
    </w:p>
    <w:p>
      <w:pPr>
        <w:pStyle w:val="Heading1"/>
        <w:pageBreakBefore/>
      </w:pPr>
      <w:r>
        <w:t>四、技术架构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1304"/>
        <w:gridCol w:w="8334"/>
      </w:tblGrid>
      <w:tr>
        <w:trPr>
          <w:cantSplit/>
          <w:tblHeader/>
        </w:trPr>
        <w:tc>
          <w:tcPr>
            <w:tcW w:type="dxa" w:w="1304"/>
            <w:vAlign w:val="center"/>
            <w:shd w:fill="E9EDF0"/>
          </w:tcPr>
          <w:p>
            <w:pPr>
              <w:pStyle w:val="TechCell"/>
            </w:pPr>
            <w:r>
              <w:rPr>
                <w:b/>
              </w:rPr>
              <w:t>层次</w:t>
            </w:r>
          </w:p>
        </w:tc>
        <w:tc>
          <w:tcPr>
            <w:tcW w:type="dxa" w:w="8334"/>
            <w:vAlign w:val="center"/>
            <w:shd w:fill="E9EDF0"/>
          </w:tcPr>
          <w:p>
            <w:pPr>
              <w:pStyle w:val="TechCell"/>
            </w:pPr>
            <w:r>
              <w:rPr>
                <w:b/>
              </w:rPr>
              <w:t>当前使用的技术及作用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前端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原生 HTML、CSS、JavaScript，负责页面、表单和结果展示，未使用 Vue 或 React。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后端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Java 17 编译目标、Spring Boot 3.3、Maven，负责接口、业务编排、参数校验和知识登记。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RAG 服务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Python、FastAPI、LlamaIndex，负责知识片段索引和检索，通过 HTTP 与 Java 通信。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检索方法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BM25 关键词检索、本地哈希特征向量、RRF 排名融合。当前向量并非预训练语义模型。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大模型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DeepSeek API，已实测模型为 deepseek-flash；由 Java 把问题和命中片段交给模型。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数据存储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JSON 文件、导入快照和内存索引，未使用 MySQL、Redis 或独立向量数据库。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pStyle w:val="TechCell"/>
            </w:pPr>
            <w:r>
              <w:t>部署与测试</w:t>
            </w:r>
          </w:p>
        </w:tc>
        <w:tc>
          <w:tcPr>
            <w:tcW w:type="dxa" w:w="8334"/>
            <w:vAlign w:val="center"/>
          </w:tcPr>
          <w:p>
            <w:pPr>
              <w:pStyle w:val="TechCell"/>
            </w:pPr>
            <w:r>
              <w:t>提供 Dockerfile 和 Docker Compose 配置，以及 Java、Python 自动测试。本轮已验证本机运行，容器配置通过校验，未重新验收容器启动。</w:t>
            </w:r>
          </w:p>
        </w:tc>
      </w:tr>
    </w:tbl>
    <w:p>
      <w:pPr>
        <w:spacing w:after="0"/>
      </w:pPr>
    </w:p>
    <w:p>
      <w:r>
        <w:t>整体由“浏览器 → Java 业务服务 → Python 检索服务”协同完成检索，再由 Java 调用 DeepSeek。Python 服务暂不可用时，可按配置回退到 Java 本地检索。</w:t>
      </w:r>
    </w:p>
    <w:p>
      <w:pPr>
        <w:pStyle w:val="Heading1"/>
      </w:pPr>
      <w:r>
        <w:t>五、RAG问答流程</w:t>
      </w:r>
    </w:p>
    <w:p>
      <w:r/>
      <w:r>
        <w:rPr>
          <w:rFonts w:ascii="Arial" w:hAnsi="Arial" w:eastAsia="黑体"/>
          <w:b/>
        </w:rPr>
        <w:t>用户提问 → 安全检查 → 检索并筛选证据 → 大模型组织回答 → 引用检查 → 返回结果</w:t>
      </w:r>
      <w:r/>
    </w:p>
    <w:p>
      <w:pPr>
        <w:pStyle w:val="ListNumber"/>
      </w:pPr>
      <w:r>
        <w:t>用户在工作台输入问题，选择检索版本，也可以限定疾病或来源范围。</w:t>
      </w:r>
    </w:p>
    <w:p>
      <w:pPr>
        <w:pStyle w:val="ListNumber"/>
      </w:pPr>
      <w:r>
        <w:t>系统先检查问题是否触发安全规则，再按所选版本从知识片段中查找相关内容。</w:t>
      </w:r>
    </w:p>
    <w:p>
      <w:pPr>
        <w:pStyle w:val="ListNumber"/>
      </w:pPr>
      <w:r>
        <w:t>启用模型且证据充分时，Java 将本次问题和命中原文交给 DeepSeek，不发送整个知识库。</w:t>
      </w:r>
    </w:p>
    <w:p>
      <w:pPr>
        <w:pStyle w:val="ListNumber"/>
      </w:pPr>
      <w:r>
        <w:t>模型按提供的证据生成回答，系统检查引用编号，再显示答案、原文片段和检索记录。</w:t>
      </w:r>
    </w:p>
    <w:p>
      <w:r>
        <w:t>未启用模型时直接返回原文摘录；触发规则或证据不足时停止模型生成。引用检查只能检查编号等结构，不能保证每句话都正确，仍需核对原文。</w:t>
      </w:r>
    </w:p>
    <w:p>
      <w:pPr>
        <w:keepNext/>
        <w:spacing w:line="240" w:lineRule="auto" w:before="80" w:after="60"/>
      </w:pPr>
      <w:r>
        <w:drawing>
          <wp:inline xmlns:a="http://schemas.openxmlformats.org/drawingml/2006/main" xmlns:pic="http://schemas.openxmlformats.org/drawingml/2006/picture">
            <wp:extent cx="6120000" cy="3802399"/>
            <wp:docPr id="2" name="Picture 2" descr="RAG 智能问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ag-ans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真实 DeepSeek 问答局部：高血压检查问题、生成结果与 WHO 引用。</w:t>
      </w:r>
    </w:p>
    <w:p>
      <w:pPr>
        <w:pStyle w:val="Heading1"/>
        <w:pageBreakBefore/>
      </w:pPr>
      <w:r>
        <w:t>六、项目特点</w:t>
      </w:r>
    </w:p>
    <w:p>
      <w:pPr>
        <w:pStyle w:val="ListBullet"/>
      </w:pPr>
      <w:r/>
      <w:r>
        <w:rPr>
          <w:rFonts w:ascii="Arial" w:hAnsi="Arial" w:eastAsia="黑体"/>
          <w:b/>
        </w:rPr>
        <w:t>回答有出处：</w:t>
      </w:r>
      <w:r>
        <w:t xml:space="preserve"> 将回答与命中原文一起展示，便于核对，而不只给一段结论。</w:t>
      </w:r>
    </w:p>
    <w:p>
      <w:pPr>
        <w:pStyle w:val="ListBullet"/>
      </w:pPr>
      <w:r/>
      <w:r>
        <w:rPr>
          <w:rFonts w:ascii="Arial" w:hAnsi="Arial" w:eastAsia="黑体"/>
          <w:b/>
        </w:rPr>
        <w:t>检索过程可比较：</w:t>
      </w:r>
      <w:r>
        <w:t xml:space="preserve"> 可以观察不同版本的结果，并通过小规模评估发现问题。</w:t>
      </w:r>
    </w:p>
    <w:p>
      <w:pPr>
        <w:pStyle w:val="ListBullet"/>
      </w:pPr>
      <w:r/>
      <w:r>
        <w:rPr>
          <w:rFonts w:ascii="Arial" w:hAnsi="Arial" w:eastAsia="黑体"/>
          <w:b/>
        </w:rPr>
        <w:t>业务与模型协同：</w:t>
      </w:r>
      <w:r>
        <w:t xml:space="preserve"> Java 管理业务，Python 负责检索，DeepSeek 负责组织答案。</w:t>
      </w:r>
    </w:p>
    <w:p>
      <w:pPr>
        <w:pStyle w:val="ListBullet"/>
      </w:pPr>
      <w:r/>
      <w:r>
        <w:rPr>
          <w:rFonts w:ascii="Arial" w:hAnsi="Arial" w:eastAsia="黑体"/>
          <w:b/>
        </w:rPr>
        <w:t>输出范围有约束：</w:t>
      </w:r>
      <w:r>
        <w:t xml:space="preserve"> 证据不足或触发安全规则时停止生成，不将检索分数当作医学正确率。</w:t>
      </w:r>
    </w:p>
    <w:p>
      <w:pPr>
        <w:pStyle w:val="Heading1"/>
      </w:pPr>
      <w:r>
        <w:t>七、项目整体流程</w:t>
      </w:r>
    </w:p>
    <w:p>
      <w:r>
        <w:t>用户进入系统后，可以先浏览知识库，或登记有授权的新文本；随后在 RAG 工作台选择版本、确认模型配置并提问。系统完成检查、检索和生成后返回答案与引用，用户可以查看原文，也可以进入对比或评估页面观察不同检索方案的表现。</w:t>
      </w:r>
    </w:p>
    <w:p>
      <w:pPr>
        <w:keepNext/>
        <w:spacing w:line="240" w:lineRule="auto" w:before="80" w:after="60"/>
      </w:pPr>
      <w:r>
        <w:drawing>
          <wp:inline xmlns:a="http://schemas.openxmlformats.org/drawingml/2006/main" xmlns:pic="http://schemas.openxmlformats.org/drawingml/2006/picture">
            <wp:extent cx="6120000" cy="3082406"/>
            <wp:docPr id="3" name="Picture 3" descr="评估实验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评估页面局部：12 条内置问题的四版本结果，仅用于项目回归检查。</w:t>
      </w:r>
    </w:p>
    <w:p>
      <w:pPr>
        <w:pStyle w:val="Heading1"/>
      </w:pPr>
      <w:r>
        <w:t>八、后续可扩展方向</w:t>
      </w:r>
    </w:p>
    <w:p>
      <w:pPr>
        <w:pStyle w:val="ListBullet"/>
      </w:pPr>
      <w:r>
        <w:t>扩充有授权的文献，并增加人工复核，改善知识覆盖范围。</w:t>
      </w:r>
    </w:p>
    <w:p>
      <w:pPr>
        <w:pStyle w:val="ListBullet"/>
      </w:pPr>
      <w:r>
        <w:t>引入预训练语义向量模型，扩大评测集，改进检索效果。</w:t>
      </w:r>
    </w:p>
    <w:p>
      <w:pPr>
        <w:pStyle w:val="ListBullet"/>
      </w:pPr>
      <w:r>
        <w:t>增加 PDF、Word 解析及扫描件文字识别，降低资料导入成本。</w:t>
      </w:r>
    </w:p>
    <w:p>
      <w:pPr>
        <w:pStyle w:val="ListBullet"/>
      </w:pPr>
      <w:r>
        <w:t>增加多轮对话、历史记录和用户权限，完善多人使用时的数据保护。</w:t>
      </w:r>
    </w:p>
    <w:p>
      <w:pPr>
        <w:pStyle w:val="Heading1"/>
      </w:pPr>
      <w:r>
        <w:t>九、项目总结</w:t>
      </w:r>
    </w:p>
    <w:p>
      <w:r>
        <w:t>项目已经串起“资料登记、知识检索、大模型问答、引用追溯和版本评估”的完整链路。它的主要成果是一套可以实际运行、方便观察检索过程的研究原型；当前知识规模较小，也没有经过临床验证，后续重点是补充资料和完善问答能力。</w:t>
      </w:r>
    </w:p>
    <w:p>
      <w:pPr>
        <w:pStyle w:val="Heading2"/>
      </w:pPr>
      <w:r>
        <w:t>给老师介绍项目时可以直接说的话</w:t>
      </w:r>
    </w:p>
    <w:p>
      <w:r>
        <w:t>老师，这个项目叫“岐黄脉证”，主要做中医药和心血管相关资料的检索问答。用户问一个问题，系统先从整理好的知识库里找依据，再把相关原文交给 DeepSeek 组织答案，页面上能看到引用来源。前端是网页，Java 负责接口和业务，Python 负责检索。我还做了资料登记、不同检索版本对比和小规模评估，方便观察效果。目前已经跑通真实模型问答，但它仍是毕业设计研究原型，只有单轮问答，也不提供临床诊断。后续会继续扩充有授权的资料，改进检索，并加入多轮对话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80"/>
    </w:pPr>
    <w:rPr>
      <w:rFonts w:ascii="Arial" w:hAnsi="Arial" w:eastAsia="宋体"/>
      <w:b w:val="0"/>
      <w:i w:val="0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60" w:lineRule="exact"/>
      <w:outlineLvl w:val="0"/>
    </w:pPr>
    <w:rPr>
      <w:rFonts w:ascii="Arial" w:hAnsi="Arial" w:eastAsia="黑体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60" w:lineRule="exact"/>
      <w:outlineLvl w:val="1"/>
    </w:pPr>
    <w:rPr>
      <w:rFonts w:ascii="Arial" w:hAnsi="Arial" w:eastAsia="黑体"/>
      <w:b/>
      <w:bCs/>
      <w:i w:val="0"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00" w:lineRule="exact"/>
      <w:contextualSpacing/>
    </w:pPr>
    <w:rPr>
      <w:rFonts w:ascii="Arial" w:hAnsi="Arial" w:eastAsia="黑体"/>
      <w:b/>
      <w:i w:val="0"/>
      <w:color w:val="000000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宋体"/>
      <w:b w:val="0"/>
      <w:i w:val="0"/>
      <w:color w:val="000000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10" w:lineRule="exact"/>
      <w:ind w:left="238" w:hanging="238"/>
      <w:contextualSpacing/>
    </w:pPr>
    <w:rPr>
      <w:rFonts w:ascii="Arial" w:hAnsi="Arial" w:eastAsia="宋体"/>
      <w:b w:val="0"/>
      <w:i w:val="0"/>
      <w:color w:val="000000"/>
      <w:sz w:val="21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10" w:lineRule="exact"/>
      <w:ind w:left="238" w:hanging="238"/>
      <w:contextualSpacing/>
    </w:pPr>
    <w:rPr>
      <w:rFonts w:ascii="Arial" w:hAnsi="Arial" w:eastAsia="宋体"/>
      <w:b w:val="0"/>
      <w:i w:val="0"/>
      <w:color w:val="000000"/>
      <w:sz w:val="21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/>
    </w:pPr>
    <w:rPr>
      <w:rFonts w:ascii="Arial" w:hAnsi="Arial" w:eastAsia="宋体"/>
      <w:b w:val="0"/>
      <w:bCs/>
      <w:i w:val="0"/>
      <w:color w:val="000000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Cell">
    <w:name w:val="Tech Cell"/>
    <w:pPr>
      <w:spacing w:line="280" w:lineRule="exact" w:after="0"/>
    </w:pPr>
    <w:rPr>
      <w:rFonts w:ascii="Arial" w:hAnsi="Arial" w:eastAsia="宋体"/>
      <w:b w:val="0"/>
      <w:i w:val="0"/>
      <w:color w:val="000000"/>
      <w:sz w:val="20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岐黄脉证项目简要介绍</dc:title>
  <dc:subject>中医药心血管 RAG 研究台功能与技术概览</dc:subject>
  <dc:creator/>
  <cp:keywords>RAG, DeepSeek, 项目介绍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