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i w:val="0"/>
          <w:sz w:val="26"/>
        </w:rPr>
        <w:t>UNIVERSIDADE FEDERAL DE GOIÁS</w:t>
      </w:r>
    </w:p>
    <w:p>
      <w:pPr>
        <w:spacing w:before="0" w:after="120"/>
        <w:jc w:val="center"/>
      </w:pPr>
      <w:r>
        <w:rPr>
          <w:b/>
          <w:i w:val="0"/>
          <w:sz w:val="24"/>
        </w:rPr>
        <w:t>INSTITUTO DE MATEMÁTICA E ESTATÍSTICA</w:t>
      </w:r>
    </w:p>
    <w:p>
      <w:pPr>
        <w:spacing w:before="0" w:after="120"/>
        <w:jc w:val="center"/>
      </w:pPr>
      <w:r>
        <w:rPr>
          <w:b w:val="0"/>
          <w:i w:val="0"/>
          <w:sz w:val="24"/>
        </w:rPr>
        <w:t>Probabilidade e Estatística A — 1º Semestre/2026</w:t>
      </w:r>
    </w:p>
    <w:p>
      <w:pPr>
        <w:spacing w:after="960"/>
      </w:pPr>
    </w:p>
    <w:p>
      <w:pPr>
        <w:spacing w:after="960"/>
      </w:pPr>
    </w:p>
    <w:p>
      <w:pPr>
        <w:spacing w:before="0" w:after="200"/>
        <w:jc w:val="center"/>
      </w:pPr>
      <w:r>
        <w:rPr>
          <w:b/>
          <w:i w:val="0"/>
          <w:color w:val="2E5A88"/>
          <w:sz w:val="36"/>
        </w:rPr>
        <w:t>Do Perfil Clínico à Predição: Análise Estatística e Modelagem Preditiva de Pacientes com Doença Cardíaca</w:t>
      </w:r>
    </w:p>
    <w:p>
      <w:pPr>
        <w:spacing w:before="0" w:after="960"/>
        <w:jc w:val="center"/>
      </w:pPr>
      <w:r>
        <w:rPr>
          <w:b w:val="0"/>
          <w:i/>
          <w:sz w:val="26"/>
        </w:rPr>
        <w:t>Estatística Descritiva, Regressão Logística e Explicabilidade de IA (SHAP)</w:t>
      </w:r>
    </w:p>
    <w:p>
      <w:pPr>
        <w:spacing w:after="960"/>
      </w:pPr>
    </w:p>
    <w:p>
      <w:pPr>
        <w:spacing w:before="800" w:after="120"/>
        <w:jc w:val="center"/>
      </w:pPr>
      <w:r>
        <w:rPr>
          <w:b/>
          <w:i w:val="0"/>
          <w:sz w:val="24"/>
        </w:rPr>
        <w:t>Integrantes do grupo: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Gustavo Henrique Barros da Silva — 202505701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João Guilherme Pires de Andrade — 202504010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Felipe Brito Albernaz — 202503998</w:t>
      </w:r>
    </w:p>
    <w:p>
      <w:pPr>
        <w:spacing w:after="1440"/>
      </w:pPr>
    </w:p>
    <w:p>
      <w:pPr>
        <w:spacing w:before="800" w:after="40"/>
        <w:jc w:val="center"/>
      </w:pPr>
      <w:r>
        <w:rPr>
          <w:b w:val="0"/>
          <w:i w:val="0"/>
          <w:sz w:val="24"/>
        </w:rPr>
        <w:t>Docente: Prof. Márcio Augusto</w:t>
      </w:r>
    </w:p>
    <w:p>
      <w:pPr>
        <w:spacing w:before="600" w:after="40"/>
        <w:jc w:val="center"/>
      </w:pPr>
      <w:r>
        <w:rPr>
          <w:b w:val="0"/>
          <w:i w:val="0"/>
          <w:sz w:val="24"/>
        </w:rPr>
        <w:t>Goiânia — GO</w:t>
      </w:r>
    </w:p>
    <w:p>
      <w:pPr>
        <w:spacing w:before="0" w:after="40"/>
        <w:jc w:val="center"/>
      </w:pPr>
      <w:r>
        <w:rPr>
          <w:b w:val="0"/>
          <w:i w:val="0"/>
          <w:sz w:val="24"/>
        </w:rPr>
        <w:t>Junho de 2026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after="160"/>
        <w:jc w:val="both"/>
      </w:pPr>
      <w:r>
        <w:t>Este relatório analisa uma base clínica de 918 pacientes descritos por 12 variáveis demográficas, hemodinâmicas e eletrocardiográficas, com dois objetivos encadeados. Primeiro, traça-se o perfil clínico de indivíduos com e sem doença cardíaca por meio da Estatística Descritiva — tabelas de frequência, medidas de tendência central, dispersão, assimetria e curtose, e diagramas de caixa — identificando quais indicadores melhor separam os dois grupos. Em seguida, esse conhecimento é convertido em uma ferramenta de decisão: treina-se um modelo de Regressão Logística capaz de prever o diagnóstico de novos pacientes, avaliado em uma amostra de teste independente, e interpretado com a técnica de explicabilidade SHAP. O modelo alcançou acurácia de 88,6% e AUC de 0,93, e suas variáveis mais influentes coincidem com os marcadores destacados na fase descritiva — a resposta ao esforço físico (angina induzida, inclinação e depressão do segmento ST, frequência cardíaca máxima) e a ausência de dor torácica típica. O modelo foi empacotado em um dashboard interativo para inferência em tempo real. Todo o trabalho foi desenvolvido em Python.</w:t>
      </w:r>
    </w:p>
    <w:p>
      <w:pPr>
        <w:pStyle w:val="Heading1"/>
      </w:pPr>
      <w:r>
        <w:t>1. Introdução e Contextualização</w:t>
      </w:r>
    </w:p>
    <w:p>
      <w:pPr>
        <w:spacing w:after="160"/>
        <w:jc w:val="both"/>
      </w:pPr>
      <w:r>
        <w:t>As doenças cardiovasculares constituem a principal causa de morte no mundo, o que torna o reconhecimento precoce de fatores de risco um problema clínico de elevada relevância. Inserido na área da saúde, este trabalho explora estatisticamente um conjunto de dados de pacientes avaliados quanto à presença de doença cardíaca, com a variável-alvo HeartDisease (presença/ausência da enfermidade) como eixo comparativo de todas as análises.</w:t>
      </w:r>
    </w:p>
    <w:p>
      <w:pPr>
        <w:spacing w:after="160"/>
        <w:jc w:val="both"/>
      </w:pPr>
      <w:r>
        <w:t>O estudo se desenvolve em duas fases complementares. Na primeira — descritiva — buscamos responder: qual é o perfil clínico de pacientes com e sem diagnóstico, e quais indicadores melhor distinguem os dois grupos? Na segunda — preditiva — damos um passo além: usamos esses padrões para construir um sistema capaz de estimar o diagnóstico de pacientes ainda não vistos, e abrimos a "caixa-preta" do modelo para entender como ele decide. O resultado final é não apenas um diagnóstico estatístico da amostra, mas uma ferramenta aplicável.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 e dimensão do banco de dados</w:t>
      </w:r>
    </w:p>
    <w:p>
      <w:pPr>
        <w:spacing w:after="160"/>
        <w:jc w:val="both"/>
      </w:pPr>
      <w:r>
        <w:t>Utilizou-se o conjunto público Heart Failure Prediction Dataset, com 918 observações (pacientes) descritas por 12 variáveis. O tamanho amostral (n = 918) e o número de variáveis satisfazem amplamente os requisitos mínimos do trabalho (n ≥ 100 e ao menos 10 variáveis, contemplando dados qualitativos, quantitativos discretos e quantitativos contínuos).</w:t>
      </w:r>
    </w:p>
    <w:p>
      <w:pPr>
        <w:pStyle w:val="Heading2"/>
      </w:pPr>
      <w:r>
        <w:t>2.2 Pipeline de dados: da exploração à predição</w:t>
      </w:r>
    </w:p>
    <w:p>
      <w:pPr>
        <w:spacing w:after="160"/>
        <w:jc w:val="both"/>
      </w:pPr>
      <w:r>
        <w:t>A metodologia foi organizada como um pipeline de ponta a ponta, dividido em duas camadas. A camada de exploração reúne quatro notebooks Jupyter (pré-processamento, qualitativas, discretas e contínuas) responsáveis pela Estatística Descritiva e pela geração de todas as tabelas e figuras. A camada de produção, no diretório de código-fonte (src/), encapsula o treinamento e a explicação do modelo; o artefato treinado é persistido em models/ (logistic_model.joblib) e exposto ao usuário final por um dashboard interativo (dashboard/app.py). Assim, a fase A (entender e mapear o perfil clínico) alimenta diretamente a fase B (construir um sistema que prevê novos casos a partir do padrão aprendido).</w:t>
      </w:r>
    </w:p>
    <w:p>
      <w:pPr>
        <w:pStyle w:val="Heading2"/>
      </w:pPr>
      <w:r>
        <w:t>2.3 Classificação das variáveis</w:t>
      </w:r>
    </w:p>
    <w:p>
      <w:pPr>
        <w:spacing w:after="160"/>
        <w:jc w:val="both"/>
      </w:pPr>
      <w:r>
        <w:t>As 12 variáveis foram classificadas segundo sua natureza estatística (Tabela 1). Rigorosamente, apenas Oldpeak está registrada como número fracionário; contudo, Pressão Arterial, Colesterol e Frequência Cardíaca Máxima são grandezas contínuas por natureza física — apenas arredondadas a inteiros pelos instrumentos — e foram tratadas como tais. A Idade, contada em anos completos, foi tratada como quantitativa discreta.</w:t>
      </w:r>
    </w:p>
    <w:p>
      <w:pPr>
        <w:spacing w:after="40"/>
        <w:jc w:val="center"/>
      </w:pPr>
      <w:r>
        <w:rPr>
          <w:b/>
          <w:sz w:val="20"/>
        </w:rPr>
        <w:t>Tabela 1 — Classificação das 12 variáveis do banco de dados.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2438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4819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Sex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Qualitativa nominal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Sexo biológico (M/F)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ChestPainType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Qualitativa nominal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Tipo de dor torácica (TA, ATA, NAP, ASY)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RestingECG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Qualitativa nominal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ECG em repouso (Normal, ST, LVH)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ExerciseAngina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Qualitativa nominal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Angina induzida por exercício (S/N)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ST_Slope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Qualitativa ordinal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Inclinação do segmento ST (Up, Flat, Down)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FastingBS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Qualitativa (binária)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Glicemia de jejum &gt; 120 mg/dL (S/N)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HeartDisease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Qualitativa (alvo)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Diagnóstico de doença cardíaca (S/N)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Age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Quantitativa discreta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Idade em anos completos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RestingBP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Quantitativa contínua*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Pressão arterial em repouso (mmHg)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Cholesterol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Quantitativa contínua*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Colesterol sérico (mg/dL)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MaxHR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sz w:val="20"/>
              </w:rPr>
              <w:t>Quantitativa contínua*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sz w:val="20"/>
              </w:rPr>
              <w:t>Frequência cardíaca máxima (bpm)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Oldpeak</w:t>
            </w:r>
          </w:p>
        </w:tc>
        <w:tc>
          <w:tcPr>
            <w:tcW w:type="dxa" w:w="2438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Quantitativa contínua</w:t>
            </w:r>
          </w:p>
        </w:tc>
        <w:tc>
          <w:tcPr>
            <w:tcW w:type="dxa" w:w="4819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Depressão do segmento ST (valor fracionário)</w:t>
            </w:r>
          </w:p>
        </w:tc>
      </w:tr>
    </w:tbl>
    <w:p>
      <w:pPr>
        <w:spacing w:after="80"/>
      </w:pPr>
    </w:p>
    <w:p>
      <w:pPr>
        <w:spacing w:after="200"/>
        <w:jc w:val="both"/>
      </w:pPr>
      <w:r>
        <w:t>* Contínua por natureza da grandeza física, ainda que registrada arredondada a valores inteiros no banco de dados.</w:t>
      </w:r>
    </w:p>
    <w:p>
      <w:pPr>
        <w:pStyle w:val="Heading2"/>
      </w:pPr>
      <w:r>
        <w:t>2.4 Ferramental computacional</w:t>
      </w:r>
    </w:p>
    <w:p>
      <w:pPr>
        <w:spacing w:after="160"/>
        <w:jc w:val="both"/>
      </w:pPr>
      <w:r>
        <w:t>Todos os resultados foram obtidos por auxílio computacional em Python 3. A fase descritiva empregou pandas e numpy (manipulação e cálculo), scipy (curtose) e matplotlib e seaborn (gráficos). A fase preditiva acrescentou o scikit-learn (treinamento e avaliação da Regressão Logística), a biblioteca shap (interpretabilidade do modelo) e o framework Streamlit (dashboard interativo). Este relatório foi montado automaticamente a partir das tabelas e figuras geradas pelo pipeline.</w:t>
      </w:r>
    </w:p>
    <w:p>
      <w:pPr>
        <w:pStyle w:val="Heading2"/>
      </w:pPr>
      <w:r>
        <w:t>2.5 Tratamento dos dados</w:t>
      </w:r>
    </w:p>
    <w:p>
      <w:pPr>
        <w:spacing w:after="160"/>
        <w:jc w:val="both"/>
      </w:pPr>
      <w:r>
        <w:t>Identificaram-se valores iguais a zero em Cholesterol (172 registros) e em RestingBP (1 registro). Por serem biologicamente impossíveis, foram interpretados como dados ausentes codificados e excluídos apenas das análises das respectivas variáveis. Assim, Colesterol foi analisado sobre 746 observações e Pressão Arterial sobre 917; as demais variáveis utilizam as 918 observações completas.</w:t>
      </w:r>
    </w:p>
    <w:p>
      <w:pPr>
        <w:pStyle w:val="Heading2"/>
      </w:pPr>
      <w:r>
        <w:t>2.6 Medidas e fórmulas empregadas</w:t>
      </w:r>
    </w:p>
    <w:p>
      <w:pPr>
        <w:spacing w:after="160"/>
        <w:jc w:val="both"/>
      </w:pPr>
      <w:r>
        <w:t>Para as quantitativas calcularam-se média, mediana, moda, variância e desvio-padrão amostrais (n − 1), coeficiente de variação (CV), amplitude, quartis e intervalo interquartílico (IQR). A assimetria foi medida pelo segundo coeficiente de Pearson, AS = 3 × (média − mediana) / σ, e a curtose pelo excesso de curtose (base normal = 0). As classes das contínuas seguiram a regra de Sturges, k = 1 + 3,322 × log₁₀(n). As medidas foram calculadas sobre os valores brutos individuais — mais precisas do que as fórmulas para dados agrupados —, ao passo que as tabelas de frequência por classes cumprem a apresentação por intervalos.</w:t>
      </w:r>
    </w:p>
    <w:p>
      <w:pPr>
        <w:pStyle w:val="Heading1"/>
      </w:pPr>
      <w:r>
        <w:t>3. Perfil da Amostra: Variável-Alvo</w:t>
      </w:r>
    </w:p>
    <w:p>
      <w:pPr>
        <w:spacing w:after="160"/>
        <w:jc w:val="both"/>
      </w:pPr>
      <w:r>
        <w:t>A amostra engloba 918 pacientes e é relativamente balanceada, com leve predominância do grupo doente: 508 pacientes (55,3%) têm diagnóstico positivo e 410 (44,7%) não. Essa prevalência basal serve de referência comparativa para todas as análises e de linha de base para o modelo preditivo.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9776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valencia_h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977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1 — Prevalência de doença cardíaca na amostra.</w:t>
      </w:r>
    </w:p>
    <w:p>
      <w:pPr>
        <w:pStyle w:val="Heading1"/>
      </w:pPr>
      <w:r>
        <w:t>4. Resultados da Análise Exploratória</w:t>
      </w:r>
    </w:p>
    <w:p>
      <w:pPr>
        <w:spacing w:after="160"/>
        <w:jc w:val="both"/>
      </w:pPr>
      <w:r>
        <w:t>Esta seção condensa toda a Estatística Descritiva em duas tabelas consolidadas — uma para as variáveis qualitativas, outra para as quantitativas — acompanhadas apenas dos gráficos comparativos que respondem diretamente à pergunta de pesquisa. O foco é narrar a história clínica dos dados: o que de fato separa quem tem da quem não tem a doença.</w:t>
      </w:r>
    </w:p>
    <w:p>
      <w:pPr>
        <w:pStyle w:val="Heading2"/>
      </w:pPr>
      <w:r>
        <w:t>4.1 Variáveis qualitativas</w:t>
      </w:r>
    </w:p>
    <w:p>
      <w:pPr>
        <w:spacing w:after="160"/>
        <w:jc w:val="both"/>
      </w:pPr>
      <w:r>
        <w:t>A Tabela 2 resume todas as variáveis qualitativas. Para cada categoria mostram-se a frequência absoluta, a participação global na amostra e — o mais revelador — sua distribuição dentro de cada grupo (a coluna "% nos Saudáveis" e "% nos Doentes"). Quando esses dois percentuais divergem muito, a categoria é um bom marcador da doença.</w:t>
      </w:r>
    </w:p>
    <w:p>
      <w:pPr>
        <w:spacing w:after="40"/>
        <w:jc w:val="center"/>
      </w:pPr>
      <w:r>
        <w:rPr>
          <w:b/>
          <w:sz w:val="20"/>
        </w:rPr>
        <w:t>Tabela 2 — Resumo das variáveis qualitativas, global e segmentado por doença.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87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Variável</w:t>
            </w:r>
          </w:p>
        </w:tc>
        <w:tc>
          <w:tcPr>
            <w:tcW w:type="dxa" w:w="147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020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13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Global</w:t>
            </w:r>
          </w:p>
        </w:tc>
        <w:tc>
          <w:tcPr>
            <w:tcW w:type="dxa" w:w="153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nos Saudáveis</w:t>
            </w:r>
          </w:p>
        </w:tc>
        <w:tc>
          <w:tcPr>
            <w:tcW w:type="dxa" w:w="147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nos Doentes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  <w:t>Sexo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F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21,0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34,9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9,8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M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725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79,0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65,1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  <w:t>Dor Torácica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ASY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54,0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25,4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77,2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ATA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173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18,8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36,3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4,7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NAP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203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22,1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32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14,2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TA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5,0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6,3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3,9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  <w:t>ECG em Repouso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LVH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188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20,5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552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60,1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65,1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56,1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ST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178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19,4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14,9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Angina (Exercício)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547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59,6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86,6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37,8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371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40,4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13,4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62,2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Inclinação ST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Down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6,9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3,4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9,6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Flat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460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50,1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19,3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75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Up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395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43,0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77,3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15,4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18"/>
              </w:rPr>
              <w:t>Glicemia &gt; 120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sz w:val="18"/>
              </w:rPr>
              <w:t>704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76,7</w:t>
            </w:r>
          </w:p>
        </w:tc>
        <w:tc>
          <w:tcPr>
            <w:tcW w:type="dxa" w:w="1531"/>
          </w:tcPr>
          <w:p>
            <w:pPr>
              <w:jc w:val="center"/>
            </w:pPr>
            <w:r/>
            <w:r>
              <w:rPr>
                <w:sz w:val="18"/>
              </w:rPr>
              <w:t>89,3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66,5</w:t>
            </w:r>
          </w:p>
        </w:tc>
      </w:tr>
      <w:tr>
        <w:tc>
          <w:tcPr>
            <w:tcW w:type="dxa" w:w="187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Elevada</w:t>
            </w:r>
          </w:p>
        </w:tc>
        <w:tc>
          <w:tcPr>
            <w:tcW w:type="dxa" w:w="1020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214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23,3</w:t>
            </w:r>
          </w:p>
        </w:tc>
        <w:tc>
          <w:tcPr>
            <w:tcW w:type="dxa" w:w="153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10,7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33,5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t>A leitura clínica é nítida. O sexo masculino concentra a doença (90,2% dos doentes são homens). A dor torácica assintomática (ASY) é o padrão dos doentes (77,2%), enquanto os saudáveis exibem tipos mais variados — a ausência da angina clássica é, paradoxalmente, um forte sinal de alerta. Os dois marcadores mais contundentes surgem na resposta ao esforço: 62,2% dos doentes desenvolvem angina ao exercício (contra 13,4% dos saudáveis), e a inclinação do segmento ST inverte-se entre os grupos — 77,3% dos saudáveis têm inclinação ascendente (Up, fisiológica) ao passo que 75,0% dos doentes têm inclinação plana (Flat, sinal de sofrimento miocárdico). Já o ECG em repouso, isoladamente, quase não distingue os grupos, reforçando a importância dos exames sob esforço.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626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rouped_ExerciseAngi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626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2 — Angina induzida por exercício, segmentada por doença cardíaca.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626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rouped_ST_Sl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626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3 — Inclinação do segmento ST, segmentada por doença cardíaca.</w:t>
      </w:r>
    </w:p>
    <w:p>
      <w:pPr>
        <w:pStyle w:val="Heading2"/>
      </w:pPr>
      <w:r>
        <w:t>4.2 Variáveis quantitativas</w:t>
      </w:r>
    </w:p>
    <w:p>
      <w:pPr>
        <w:spacing w:after="160"/>
        <w:jc w:val="both"/>
      </w:pPr>
      <w:r>
        <w:t>A Tabela 3 reúne as medidas descritivas globais das cinco variáveis quantitativas. A Tabela 4 destaca a comparação que realmente importa: como a média e a mediana de cada variável mudam entre saudáveis e doentes.</w:t>
      </w:r>
    </w:p>
    <w:p>
      <w:pPr>
        <w:spacing w:after="40"/>
        <w:jc w:val="center"/>
      </w:pPr>
      <w:r>
        <w:rPr>
          <w:b/>
          <w:sz w:val="20"/>
        </w:rPr>
        <w:t>Tabela 3 — Medidas descritivas globais das variáveis quantitativas.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204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36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Idade (anos)</w:t>
            </w:r>
          </w:p>
        </w:tc>
        <w:tc>
          <w:tcPr>
            <w:tcW w:type="dxa" w:w="136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Pressão (mmHg)</w:t>
            </w:r>
          </w:p>
        </w:tc>
        <w:tc>
          <w:tcPr>
            <w:tcW w:type="dxa" w:w="136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Colest. (mg/dL)</w:t>
            </w:r>
          </w:p>
        </w:tc>
        <w:tc>
          <w:tcPr>
            <w:tcW w:type="dxa" w:w="136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Freq. Máx (bpm)</w:t>
            </w:r>
          </w:p>
        </w:tc>
        <w:tc>
          <w:tcPr>
            <w:tcW w:type="dxa" w:w="113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Oldpeak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8"/>
              </w:rPr>
              <w:t>n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918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917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746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918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918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53,51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132,54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244,64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136,81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0,89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8"/>
              </w:rPr>
              <w:t>Mediana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54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237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Desvio-padrão (σ)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9,43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18,00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59,15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25,46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1,07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8"/>
              </w:rPr>
              <w:t>Coef. Variação (CV%)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17,63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13,58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24,18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18,61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120,20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Q1 (25%)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120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207,25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120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8"/>
              </w:rPr>
              <w:t>Q3 (75%)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140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275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156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1,50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Assimetria (Pearson 2)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-0,16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0,42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0,39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-0,14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0,81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8"/>
              </w:rPr>
              <w:t>Curtose (excesso)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-0,39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0,79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4,53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8"/>
              </w:rPr>
              <w:t>-0,45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8"/>
              </w:rPr>
              <w:t>1,20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rPr>
          <w:b/>
          <w:sz w:val="20"/>
        </w:rPr>
        <w:t>Tabela 4 — Comparação por grupo das variáveis quantitativas.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215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Variável</w:t>
            </w:r>
          </w:p>
        </w:tc>
        <w:tc>
          <w:tcPr>
            <w:tcW w:type="dxa" w:w="170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Média (Saudáveis)</w:t>
            </w:r>
          </w:p>
        </w:tc>
        <w:tc>
          <w:tcPr>
            <w:tcW w:type="dxa" w:w="170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Mediana (Saudáveis)</w:t>
            </w:r>
          </w:p>
        </w:tc>
        <w:tc>
          <w:tcPr>
            <w:tcW w:type="dxa" w:w="170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Média (Doentes)</w:t>
            </w:r>
          </w:p>
        </w:tc>
        <w:tc>
          <w:tcPr>
            <w:tcW w:type="dxa" w:w="170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Mediana (Doentes)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sz w:val="18"/>
              </w:rPr>
              <w:t>Idade (anos)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50,55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55,90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57</w:t>
            </w:r>
          </w:p>
        </w:tc>
      </w:tr>
      <w:tr>
        <w:tc>
          <w:tcPr>
            <w:tcW w:type="dxa" w:w="2154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Pressão (mmHg)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130,18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130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134,45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132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sz w:val="18"/>
              </w:rPr>
              <w:t>Colesterol (mg/dL)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238,77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231,50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251,06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246</w:t>
            </w:r>
          </w:p>
        </w:tc>
      </w:tr>
      <w:tr>
        <w:tc>
          <w:tcPr>
            <w:tcW w:type="dxa" w:w="2154"/>
            <w:shd w:val="clear" w:color="auto" w:fill="EEF2F7"/>
          </w:tcPr>
          <w:p>
            <w:pPr>
              <w:jc w:val="left"/>
            </w:pPr>
            <w:r/>
            <w:r>
              <w:rPr>
                <w:sz w:val="18"/>
              </w:rPr>
              <w:t>Freq. Máxima (bpm)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148,15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127,66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/>
            <w:r>
              <w:rPr>
                <w:sz w:val="18"/>
              </w:rPr>
              <w:t>126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sz w:val="18"/>
              </w:rPr>
              <w:t>Oldpeak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1,27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1,20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t>Pressão arterial e colesterol quase não separam os grupos: suas médias se sobrepõem e ambos têm distribuições com caudas longas (o colesterol é fortemente leptocúrtico, com curtose 4,53). A idade contribui de forma moderada — os doentes são, em média, cerca de cinco anos mais velhos. Os dois discriminadores fortes são fisiológicos. A frequência cardíaca máxima cai nitidamente nos doentes (média de 127,7 contra 148,2 bpm nos saudáveis): durante o esforço, o coração doente não acelera como deveria — uma insuficiência cronotrópica. E o Oldpeak (depressão do segmento ST) é a variável mais polarizada do estudo: os saudáveis têm mediana 0,0 (grande parte não apresenta depressão alguma), enquanto os doentes têm mediana 1,20. Os box-plots a seguir tornam essa separação visual.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357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xplot_MaxHR_vs_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5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4 — Frequência cardíaca máxima por grupo (a caixa dos doentes é nitidamente mais baixa).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35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xplot_Oldpeak_vs_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5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5 — Depressão do segmento ST (Oldpeak) por grupo.</w:t>
      </w:r>
    </w:p>
    <w:p>
      <w:pPr>
        <w:pStyle w:val="Heading1"/>
      </w:pPr>
      <w:r>
        <w:t>5. Modelagem Preditiva e Aplicação</w:t>
      </w:r>
    </w:p>
    <w:p>
      <w:pPr>
        <w:spacing w:after="160"/>
        <w:jc w:val="both"/>
      </w:pPr>
      <w:r>
        <w:t>A análise descritiva mostrou quais variáveis separam os grupos. A pergunta natural seguinte é: conseguimos usar esses padrões para prever o diagnóstico de um paciente novo? Esta seção responde construindo, avaliando e explicando um modelo de aprendizado de máquina — e o disponibilizando como aplicativo.</w:t>
      </w:r>
    </w:p>
    <w:p>
      <w:pPr>
        <w:pStyle w:val="Heading2"/>
      </w:pPr>
      <w:r>
        <w:t>5.1 O modelo: Regressão Logística</w:t>
      </w:r>
    </w:p>
    <w:p>
      <w:pPr>
        <w:spacing w:after="160"/>
        <w:jc w:val="both"/>
      </w:pPr>
      <w:r>
        <w:t>Escolheu-se a Regressão Logística por dois motivos. Primeiro, é o modelo estatístico clássico para problemas de classificação binária (doente / não doente). Segundo, e mais importante para um contexto clínico, ele é transparente: ao contrário de modelos "caixa-preta", cada variável recebe um peso interpretável que indica como ela empurra a probabilidade de diagnóstico para cima ou para baixo. Os dados foram divididos em treino e teste; o modelo foi avaliado em 184 pacientes nunca vistos no treino, garantindo uma medida honesta de desempenho. Os resultados constam da Tabela 5.</w:t>
      </w:r>
    </w:p>
    <w:p>
      <w:pPr>
        <w:spacing w:after="40"/>
        <w:jc w:val="center"/>
      </w:pPr>
      <w:r>
        <w:rPr>
          <w:b/>
          <w:sz w:val="20"/>
        </w:rPr>
        <w:t>Tabela 5 — Desempenho do modelo na amostra de teste.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252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2268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2"/>
              </w:rPr>
              <w:t>Acurácia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2"/>
              </w:rPr>
              <w:t>88,6%</w:t>
            </w:r>
          </w:p>
        </w:tc>
      </w:tr>
      <w:tr>
        <w:tc>
          <w:tcPr>
            <w:tcW w:type="dxa" w:w="4252"/>
            <w:shd w:val="clear" w:color="auto" w:fill="EEF2F7"/>
          </w:tcPr>
          <w:p>
            <w:pPr>
              <w:jc w:val="left"/>
            </w:pPr>
            <w:r/>
            <w:r>
              <w:rPr>
                <w:sz w:val="22"/>
              </w:rPr>
              <w:t>Precisão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center"/>
            </w:pPr>
            <w:r/>
            <w:r>
              <w:rPr>
                <w:sz w:val="22"/>
              </w:rPr>
              <w:t>88,6%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2"/>
              </w:rPr>
              <w:t>Sensibilidade (Recall)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2"/>
              </w:rPr>
              <w:t>91,2%</w:t>
            </w:r>
          </w:p>
        </w:tc>
      </w:tr>
      <w:tr>
        <w:tc>
          <w:tcPr>
            <w:tcW w:type="dxa" w:w="4252"/>
            <w:shd w:val="clear" w:color="auto" w:fill="EEF2F7"/>
          </w:tcPr>
          <w:p>
            <w:pPr>
              <w:jc w:val="left"/>
            </w:pPr>
            <w:r/>
            <w:r>
              <w:rPr>
                <w:sz w:val="22"/>
              </w:rPr>
              <w:t>F1-Score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center"/>
            </w:pPr>
            <w:r/>
            <w:r>
              <w:rPr>
                <w:sz w:val="22"/>
              </w:rPr>
              <w:t>89,9%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2"/>
              </w:rPr>
              <w:t>AUC (área sob a curva ROC)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sz w:val="22"/>
              </w:rPr>
              <w:t>0,933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t>O desempenho é forte. A acurácia de 88,6% indica que quase 9 em cada 10 diagnósticos são corretos, e a AUC de 0,93 mostra excelente capacidade de ordenar pacientes por risco. Em um cenário clínico, a sensibilidade (recall) de 91,2% é especialmente valiosa: o modelo raramente deixa passar um doente real — erro mais grave do que um alarme falso. A matriz de confusão (Figura 6) detalha os acertos e erros, e a curva ROC (Figura 7) confirma o poder discriminatório ao longo de todos os limiares de decisão.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6 — Matriz de confusão na amostra de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c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7 — Curva ROC (AUC = 0,93).</w:t>
      </w:r>
    </w:p>
    <w:p>
      <w:pPr>
        <w:pStyle w:val="Heading2"/>
      </w:pPr>
      <w:r>
        <w:t>5.2 Como o modelo decide: Odds Ratios e SHAP</w:t>
      </w:r>
    </w:p>
    <w:p>
      <w:pPr>
        <w:spacing w:after="160"/>
        <w:jc w:val="both"/>
      </w:pPr>
      <w:r>
        <w:t>Um modelo só é confiável na medicina se pudermos entender por que ele decide. Duas lentes complementares foram usadas. A primeira são os Odds Ratios (razões de chance), que traduzem os pesos do modelo: um valor acima de 1 significa que a característica aumenta a chance de doença, e abaixo de 1, que a reduz. A Tabela 6 ordena as variáveis mais influentes.</w:t>
      </w:r>
    </w:p>
    <w:p>
      <w:pPr>
        <w:spacing w:after="40"/>
        <w:jc w:val="center"/>
      </w:pPr>
      <w:r>
        <w:rPr>
          <w:b/>
          <w:sz w:val="20"/>
        </w:rPr>
        <w:t>Tabela 6 — Variáveis mais influentes (8 maiores em magnitude).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685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147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Coeficiente</w:t>
            </w:r>
          </w:p>
        </w:tc>
        <w:tc>
          <w:tcPr>
            <w:tcW w:type="dxa" w:w="1361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Odds Ratio</w:t>
            </w:r>
          </w:p>
        </w:tc>
        <w:tc>
          <w:tcPr>
            <w:tcW w:type="dxa" w:w="1984"/>
            <w:shd w:val="clear" w:color="auto" w:fill="2E5A8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Efeito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20"/>
              </w:rPr>
              <w:t>Inclinação ST = Up (ascendente)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-1,31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0,27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20"/>
              </w:rPr>
              <w:t>↓ reduz risco</w:t>
            </w:r>
          </w:p>
        </w:tc>
      </w:tr>
      <w:tr>
        <w:tc>
          <w:tcPr>
            <w:tcW w:type="dxa" w:w="3685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Dor torácica = ASY (assintomática)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3,23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↑ aumenta risco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20"/>
              </w:rPr>
              <w:t>Inclinação ST = Flat (plana)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1,03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2,81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20"/>
              </w:rPr>
              <w:t>↑ aumenta risco</w:t>
            </w:r>
          </w:p>
        </w:tc>
      </w:tr>
      <w:tr>
        <w:tc>
          <w:tcPr>
            <w:tcW w:type="dxa" w:w="3685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Sexo = Feminino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-0,74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0,48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↓ reduz risco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20"/>
              </w:rPr>
              <w:t>Sexo = Masculino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0,61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1,84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20"/>
              </w:rPr>
              <w:t>↑ aumenta risco</w:t>
            </w:r>
          </w:p>
        </w:tc>
      </w:tr>
      <w:tr>
        <w:tc>
          <w:tcPr>
            <w:tcW w:type="dxa" w:w="3685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Dor torácica = NAP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-0,56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0,57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↓ reduz risco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/>
            <w:r>
              <w:rPr>
                <w:sz w:val="20"/>
              </w:rPr>
              <w:t>Glicemia jejum &gt; 120 mg/dL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0"/>
              </w:rPr>
              <w:t>0,53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20"/>
              </w:rPr>
              <w:t>1,71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sz w:val="20"/>
              </w:rPr>
              <w:t>↑ aumenta risco</w:t>
            </w:r>
          </w:p>
        </w:tc>
      </w:tr>
      <w:tr>
        <w:tc>
          <w:tcPr>
            <w:tcW w:type="dxa" w:w="3685"/>
            <w:shd w:val="clear" w:color="auto" w:fill="EEF2F7"/>
          </w:tcPr>
          <w:p>
            <w:pPr>
              <w:jc w:val="left"/>
            </w:pPr>
            <w:r/>
            <w:r>
              <w:rPr>
                <w:sz w:val="20"/>
              </w:rPr>
              <w:t>Dor torácica = ATA</w:t>
            </w:r>
          </w:p>
        </w:tc>
        <w:tc>
          <w:tcPr>
            <w:tcW w:type="dxa" w:w="147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-0,53</w:t>
            </w:r>
          </w:p>
        </w:tc>
        <w:tc>
          <w:tcPr>
            <w:tcW w:type="dxa" w:w="1361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0,59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/>
            <w:r>
              <w:rPr>
                <w:sz w:val="20"/>
              </w:rPr>
              <w:t>↓ reduz risco</w:t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t>A história que o modelo conta é coerente com a clínica — e com a fase descritiva. A inclinação ascendente do segmento ST (Up) é o fator protetor mais forte (Odds Ratio 0,27: reduz a chance de doença a cerca de um quarto), enquanto a dor torácica assintomática (ASY) é o maior fator de risco (Odds Ratio 3,23: mais que triplica a chance). Inclinação plana do segmento ST, sexo masculino, glicemia elevada e angina ao exercício seguem na mesma direção já observada nas tabelas descritivas. O modelo não inventou regras novas: ele quantificou, com pesos precisos, exatamente os padrões que a exploração havia sugerido.</w:t>
      </w:r>
    </w:p>
    <w:p>
      <w:pPr>
        <w:spacing w:after="160"/>
        <w:jc w:val="both"/>
      </w:pPr>
      <w:r>
        <w:t>A segunda lente é o SHAP, técnica moderna de explicabilidade de IA. Para cada paciente individual, o SHAP calcula quanto cada sintoma empurrou a previsão — como se distribuísse a "culpa" do diagnóstico entre as variáveis. O gráfico beeswarm (Figura 8) agrega essas explicações: cada ponto é um paciente, a posição horizontal indica se a variável aumentou (direita) ou diminuiu (esquerda) o risco previsto, e a cor representa o valor da variável. As variáveis aparecem ordenadas por impacto global, confirmando o protagonismo do segmento ST, do tipo de dor torácica e da resposta ao esforço.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5604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hap_beeswa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60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Figura 8 — Explicabilidade SHAP: impacto de cada variável sobre as previsões.</w:t>
      </w:r>
    </w:p>
    <w:p>
      <w:pPr>
        <w:pStyle w:val="Heading2"/>
      </w:pPr>
      <w:r>
        <w:t>5.3 Produto final: dashboard interativo</w:t>
      </w:r>
    </w:p>
    <w:p>
      <w:pPr>
        <w:spacing w:after="160"/>
        <w:jc w:val="both"/>
      </w:pPr>
      <w:r>
        <w:t>Para que o modelo não permanecesse apenas no plano teórico, ele foi empacotado em um dashboard interativo construído com Streamlit (dashboard/app.py). A aplicação reúne, em uma interface reativa, a análise descritiva com filtros (por sexo, faixa etária e diagnóstico) e um formulário de predição ao vivo: o usuário informa os dados de um paciente e recebe, em tempo real, a probabilidade estimada de doença cardíaca calculada pelo modelo treinado. O sistema fecha, assim, o ciclo completo de um projeto de dados — da exploração estatística à entrega de uma ferramenta de apoio à decisão clínica.</w:t>
      </w:r>
    </w:p>
    <w:p>
      <w:pPr>
        <w:pStyle w:val="Heading1"/>
      </w:pPr>
      <w:r>
        <w:t>6. Síntese e Conclusões</w:t>
      </w:r>
    </w:p>
    <w:p>
      <w:pPr>
        <w:spacing w:after="160"/>
        <w:jc w:val="both"/>
      </w:pPr>
      <w:r>
        <w:t>Os grupos com e sem doença cardíaca quase não se diferenciam por medidas basais — pressão arterial e ECG em repouso — nem por margens excludentes de colesterol. A diferenciação robusta emerge na resposta hemodinâmica e eletrocardiográfica ao esforço físico, combinada a fatores demográficos pontuais.</w:t>
      </w:r>
    </w:p>
    <w:p>
      <w:pPr>
        <w:spacing w:after="160"/>
        <w:jc w:val="both"/>
      </w:pPr>
      <w:r>
        <w:t>O perfil clínico dominante do paciente diagnosticado nesta amostra é o de um homem com mais de 55 anos, que relata dor torácica assintomática (ASY) mas desenvolve angina ao esforço, apresenta insuficiência cronotrópica (frequência cardíaca máxima atenuada) e isquemia induzida, traduzida por inclinação plana do segmento ST (Flat) e elevada depressão do segmento (Oldpeak).</w:t>
      </w:r>
    </w:p>
    <w:p>
      <w:pPr>
        <w:spacing w:after="160"/>
        <w:jc w:val="both"/>
      </w:pPr>
      <w:r>
        <w:t>A grande contribuição deste trabalho é que as duas fases convergem para a mesma conclusão por caminhos independentes. A Estatística Descritiva apontou esses marcadores; a Regressão Logística, treinada e validada em dados de teste, os confirmou quantitativamente (acurácia de 88,6%, AUC de 0,93) e a explicabilidade SHAP mostrou que o modelo decide com base exatamente nesses mesmos sinais. Os indicadores dinâmicos ligados à tolerância ao esforço e à isquemia provável são, portanto, os marcadores mais informativos para a diferenciação da doença cardíaca nesta população — e, mais do que descritos, foram transformados em uma ferramenta preditiva funcional, respondendo plenamente à questão de pesquisa proposta.</w:t>
      </w:r>
    </w:p>
    <w:p>
      <w:pPr>
        <w:pStyle w:val="Heading1"/>
      </w:pPr>
      <w:r>
        <w:t>Referências</w:t>
      </w:r>
    </w:p>
    <w:p>
      <w:pPr>
        <w:spacing w:after="80"/>
        <w:jc w:val="both"/>
      </w:pPr>
      <w:r>
        <w:t>FEDESORIANO. Heart Failure Prediction Dataset. Kaggle, 2021. Disponível em: https://www.kaggle.com/datasets/fedesoriano/heart-failure-prediction. Conjunto derivado da combinação de bases do repositório UCI Machine Learning.</w:t>
      </w:r>
    </w:p>
    <w:p>
      <w:pPr>
        <w:spacing w:after="80"/>
        <w:jc w:val="both"/>
      </w:pPr>
      <w:r>
        <w:t>BUSSAB, W. O.; MORETTIN, P. A. Estatística Básica. 9. ed. São Paulo: Saraiva, 2017.</w:t>
      </w:r>
    </w:p>
    <w:p>
      <w:pPr>
        <w:spacing w:after="80"/>
        <w:jc w:val="both"/>
      </w:pPr>
      <w:r>
        <w:t>PEDREGOSA, F. et al. Scikit-learn: Machine Learning in Python. Journal of Machine Learning Research, v. 12, p. 2825–2830, 2011.</w:t>
      </w:r>
    </w:p>
    <w:p>
      <w:pPr>
        <w:spacing w:after="80"/>
        <w:jc w:val="both"/>
      </w:pPr>
      <w:r>
        <w:t>LUNDBERG, S. M.; LEE, S.-I. A Unified Approach to Interpreting Model Predictions. In: Advances in Neural Information Processing Systems (NeurIPS), 2017.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2E5A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A8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