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rFonts w:ascii="Calibri" w:cs="Calibri" w:eastAsia="Calibri" w:hAnsi="Calibri"/>
          <w:b/>
          <w:bCs/>
          <w:color w:val="7B8794"/>
          <w:sz w:val="24"/>
          <w:szCs w:val="24"/>
        </w:rPr>
        <w:t xml:space="preserve">HYBRID TALENT POOL</w:t>
      </w:r>
    </w:p>
    <w:p>
      <w:pPr>
        <w:spacing w:after="200"/>
      </w:pPr>
      <w:r>
        <w:rPr>
          <w:rFonts w:ascii="Calibri" w:cs="Calibri" w:eastAsia="Calibri" w:hAnsi="Calibri"/>
          <w:b/>
          <w:bCs/>
          <w:color w:val="1F5F8B"/>
          <w:sz w:val="56"/>
          <w:szCs w:val="56"/>
        </w:rPr>
        <w:t xml:space="preserve">Deployment Guide and Roadmap</w:t>
      </w:r>
    </w:p>
    <w:p>
      <w:pPr>
        <w:pBdr>
          <w:bottom w:val="single" w:color="1F5F8B" w:sz="8" w:space="6"/>
        </w:pBdr>
        <w:spacing w:after="240"/>
      </w:pPr>
      <w:r>
        <w:rPr>
          <w:rFonts w:ascii="Calibri" w:cs="Calibri" w:eastAsia="Calibri" w:hAnsi="Calibri"/>
          <w:color w:val="4A5568"/>
          <w:sz w:val="26"/>
          <w:szCs w:val="26"/>
        </w:rPr>
        <w:t xml:space="preserve">Azure deployment, operations and delivery plan</w:t>
      </w:r>
    </w:p>
    <w:p>
      <w:pPr>
        <w:spacing w:after="60"/>
      </w:pPr>
      <w:r>
        <w:rPr>
          <w:rFonts w:ascii="Calibri" w:cs="Calibri" w:eastAsia="Calibri" w:hAnsi="Calibri"/>
          <w:color w:val="4A5568"/>
          <w:sz w:val="22"/>
          <w:szCs w:val="22"/>
        </w:rPr>
        <w:t xml:space="preserve">Version 2.0  |  October 2026</w:t>
      </w:r>
    </w:p>
    <w:p>
      <w:pPr>
        <w:spacing w:after="60"/>
      </w:pPr>
      <w:r>
        <w:rPr>
          <w:rFonts w:ascii="Calibri" w:cs="Calibri" w:eastAsia="Calibri" w:hAnsi="Calibri"/>
          <w:color w:val="4A5568"/>
          <w:sz w:val="22"/>
          <w:szCs w:val="22"/>
        </w:rPr>
        <w:t xml:space="preserve">Status: Draft for review</w:t>
      </w:r>
    </w:p>
    <w:p>
      <w:r>
        <w:br w:type="page"/>
      </w:r>
    </w:p>
    <w:p>
      <w:pPr>
        <w:pStyle w:val="Heading1"/>
      </w:pPr>
      <w:r>
        <w:t xml:space="preserve">1. Overview</w:t>
      </w:r>
    </w:p>
    <w:p>
      <w:pPr>
        <w:spacing w:after="120" w:line="276"/>
      </w:pPr>
      <w:r>
        <w:rPr>
          <w:rFonts w:ascii="Calibri" w:cs="Calibri" w:eastAsia="Calibri" w:hAnsi="Calibri"/>
          <w:sz w:val="22"/>
          <w:szCs w:val="22"/>
        </w:rPr>
        <w:t xml:space="preserve">This guide covers deployment on Azure and the delivery roadmap. Configuration shown is a pattern to adapt; API versions, SKUs and limits must be checked in current Azure documentation. The CI/CD platform (GitHub Actions or Azure DevOps) and the agent hosting choice are still to be confirmed.</w:t>
      </w:r>
    </w:p>
    <w:p>
      <w:pPr>
        <w:pStyle w:val="Heading2"/>
      </w:pPr>
      <w:r>
        <w:t xml:space="preserve">1.1 Runtime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00"/>
        <w:gridCol w:w="246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Workload</w:t>
            </w:r>
          </w:p>
        </w:tc>
        <w:tc>
          <w:tcPr>
            <w:tcW w:type="dxa" w:w="2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Image</w:t>
            </w:r>
          </w:p>
        </w:tc>
        <w:tc>
          <w:tcPr>
            <w:tcW w:type="dxa" w:w="29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Start command</w:t>
            </w:r>
          </w:p>
        </w:tc>
        <w:tc>
          <w:tcPr>
            <w:tcW w:type="dxa" w:w="24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Scaling</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tool-api</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uvicorn app.main:app</w:t>
            </w:r>
          </w:p>
        </w:tc>
        <w:tc>
          <w:tcPr>
            <w:tcW w:type="dxa" w:w="2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HTTP concurrency, min 2 replicas</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sync-worker</w:t>
            </w:r>
          </w:p>
        </w:tc>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python -m app.workers.sync_worker</w:t>
            </w:r>
          </w:p>
        </w:tc>
        <w:tc>
          <w:tcPr>
            <w:tcW w:type="dxa" w:w="2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Queue depth of the sync queue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ingest-worker</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python -m app.workers.ingest_worker</w:t>
            </w:r>
          </w:p>
        </w:tc>
        <w:tc>
          <w:tcPr>
            <w:tcW w:type="dxa" w:w="2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Queue depth of the ingest queue, scale from 0</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scoring-worker</w:t>
            </w:r>
          </w:p>
        </w:tc>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python -m app.workers.scoring_worker</w:t>
            </w:r>
          </w:p>
        </w:tc>
        <w:tc>
          <w:tcPr>
            <w:tcW w:type="dxa" w:w="2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Queue depth of the scoring queue, capped by the Scoring Agent rate limit</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Recruiter Agent</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platform or agents/recruiter image</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 platform</w:t>
            </w:r>
          </w:p>
        </w:tc>
        <w:tc>
          <w:tcPr>
            <w:tcW w:type="dxa" w:w="2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 platform; its own URL and bearer token</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Agent</w:t>
            </w:r>
          </w:p>
        </w:tc>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 platform or agents/scorer image</w:t>
            </w:r>
          </w:p>
        </w:tc>
        <w:tc>
          <w:tcPr>
            <w:tcW w:type="dxa" w:w="2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per platform</w:t>
            </w:r>
          </w:p>
        </w:tc>
        <w:tc>
          <w:tcPr>
            <w:tcW w:type="dxa" w:w="2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Per platform; its own URL and bearer token</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Chat client</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static site</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n/a</w:t>
            </w:r>
          </w:p>
        </w:tc>
        <w:tc>
          <w:tcPr>
            <w:tcW w:type="dxa" w:w="2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CDN</w:t>
            </w:r>
          </w:p>
        </w:tc>
      </w:tr>
    </w:tbl>
    <w:p>
      <w:pPr>
        <w:spacing w:after="120" w:line="276"/>
      </w:pPr>
      <w:r>
        <w:rPr>
          <w:rFonts w:ascii="Calibri" w:cs="Calibri" w:eastAsia="Calibri" w:hAnsi="Calibri"/>
          <w:sz w:val="22"/>
          <w:szCs w:val="22"/>
        </w:rPr>
        <w:t xml:space="preserve">Option 1: the agents run on an agent platform and the deployment only stores their URLs and tokens. Option 2: the agents run as your own containers in Container Apps. Both options use the same AgentClient and the same configuration keys.</w:t>
      </w:r>
    </w:p>
    <w:p>
      <w:pPr>
        <w:pStyle w:val="Heading1"/>
      </w:pPr>
      <w:r>
        <w:t xml:space="preserve">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Resource</w:t>
            </w:r>
          </w:p>
        </w:tc>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Purpose</w:t>
            </w:r>
          </w:p>
        </w:tc>
        <w:tc>
          <w:tcPr>
            <w:tcW w:type="dxa" w:w="36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Notes</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Resource groups per environment</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dev, staging, prod</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Separate subscription for prod if possible</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Container Apps environment</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Hosts backend workloads (and agents in option 2)</w:t>
            </w:r>
          </w:p>
        </w:tc>
        <w:tc>
          <w:tcPr>
            <w:tcW w:type="dxa" w:w="3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VNet-integrated; internal ingress for Tool API</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Container Registry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Images</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Private endpoint, image scanning</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PostgreSQL Flexible Server</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Database</w:t>
            </w:r>
          </w:p>
        </w:tc>
        <w:tc>
          <w:tcPr>
            <w:tcW w:type="dxa" w:w="3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pg_trgm and citext allow-listed. Zone-redundant HA in prod, point-in-time restore</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Storage account (Blob)</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Raw mails, resumes, reports</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Private endpoint, soft delete, lifecycle rules</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Service Bus namespace</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Ingest queue, scoring queue, each with DLQ</w:t>
            </w:r>
          </w:p>
        </w:tc>
        <w:tc>
          <w:tcPr>
            <w:tcW w:type="dxa" w:w="3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Premium if private networking is required</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 Vault</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tokens, Graph credential, DB credentials, signing keys</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RBAC mode, purge protection</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LLM resource or agent platform</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Models behind both agents</w:t>
            </w:r>
          </w:p>
        </w:tc>
        <w:tc>
          <w:tcPr>
            <w:tcW w:type="dxa" w:w="3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Region per data residency; confirm quota and rate limits</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Entra app registrations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User login, Graph mailbox access</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Separate registrations</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Application Insights, Log Analytics</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Telemetry and alerts</w:t>
            </w:r>
          </w:p>
        </w:tc>
        <w:tc>
          <w:tcPr>
            <w:tcW w:type="dxa" w:w="3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Redact personal data and tokens</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Redis (optional)</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Rate limiting and caches</w:t>
            </w:r>
          </w:p>
        </w:tc>
        <w:tc>
          <w:tcPr>
            <w:tcW w:type="dxa" w:w="3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Not required for scoring</w:t>
            </w:r>
          </w:p>
        </w:tc>
      </w:tr>
    </w:tbl>
    <w:p>
      <w:pPr>
        <w:pStyle w:val="Heading1"/>
      </w:pPr>
      <w:r>
        <w:t xml:space="preserve">3. Container Images</w:t>
      </w:r>
    </w:p>
    <w:p>
      <w:pPr>
        <w:pStyle w:val="Heading2"/>
      </w:pPr>
      <w:r>
        <w:t xml:space="preserve">3.1 Backend Dockerfile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FROM python:3.12-slim</w:t>
            </w:r>
          </w:p>
          <w:p>
            <w:pPr>
              <w:spacing w:after="0" w:line="240"/>
            </w:pPr>
            <w:r>
              <w:rPr>
                <w:rFonts w:ascii="Consolas" w:cs="Consolas" w:eastAsia="Consolas" w:hAnsi="Consolas"/>
                <w:sz w:val="17"/>
                <w:szCs w:val="17"/>
              </w:rPr>
              <w:t xml:space="preserve">ENV PYTHONDONTWRITEBYTECODE=1 PYTHONUNBUFFERED=1</w:t>
            </w:r>
          </w:p>
          <w:p>
            <w:pPr>
              <w:spacing w:after="0" w:line="240"/>
            </w:pPr>
            <w:r>
              <w:rPr>
                <w:rFonts w:ascii="Consolas" w:cs="Consolas" w:eastAsia="Consolas" w:hAnsi="Consolas"/>
                <w:sz w:val="17"/>
                <w:szCs w:val="17"/>
              </w:rPr>
              <w:t xml:space="preserve">RUN apt-get update &amp;&amp; apt-get install -y --no-install-recommends \</w:t>
            </w:r>
          </w:p>
          <w:p>
            <w:pPr>
              <w:spacing w:after="0" w:line="240"/>
            </w:pPr>
            <w:r>
              <w:rPr>
                <w:rFonts w:ascii="Consolas" w:cs="Consolas" w:eastAsia="Consolas" w:hAnsi="Consolas"/>
                <w:sz w:val="17"/>
                <w:szCs w:val="17"/>
              </w:rPr>
              <w:t xml:space="preserve">    poppler-utils tesseract-ocr libmagic1 &amp;&amp; rm -rf /var/lib/apt/lists/*</w:t>
            </w:r>
          </w:p>
          <w:p>
            <w:pPr>
              <w:spacing w:after="0" w:line="240"/>
            </w:pPr>
            <w:r>
              <w:rPr>
                <w:rFonts w:ascii="Consolas" w:cs="Consolas" w:eastAsia="Consolas" w:hAnsi="Consolas"/>
                <w:sz w:val="17"/>
                <w:szCs w:val="17"/>
              </w:rPr>
              <w:t xml:space="preserve">WORKDIR /srv</w:t>
            </w:r>
          </w:p>
          <w:p>
            <w:pPr>
              <w:spacing w:after="0" w:line="240"/>
            </w:pPr>
            <w:r>
              <w:rPr>
                <w:rFonts w:ascii="Consolas" w:cs="Consolas" w:eastAsia="Consolas" w:hAnsi="Consolas"/>
                <w:sz w:val="17"/>
                <w:szCs w:val="17"/>
              </w:rPr>
              <w:t xml:space="preserve">COPY backend/requirements.txt .</w:t>
            </w:r>
          </w:p>
          <w:p>
            <w:pPr>
              <w:spacing w:after="0" w:line="240"/>
            </w:pPr>
            <w:r>
              <w:rPr>
                <w:rFonts w:ascii="Consolas" w:cs="Consolas" w:eastAsia="Consolas" w:hAnsi="Consolas"/>
                <w:sz w:val="17"/>
                <w:szCs w:val="17"/>
              </w:rPr>
              <w:t xml:space="preserve">RUN pip install --no-cache-dir -r requirements.txt</w:t>
            </w:r>
          </w:p>
          <w:p>
            <w:pPr>
              <w:spacing w:after="0" w:line="240"/>
            </w:pPr>
            <w:r>
              <w:rPr>
                <w:rFonts w:ascii="Consolas" w:cs="Consolas" w:eastAsia="Consolas" w:hAnsi="Consolas"/>
                <w:sz w:val="17"/>
                <w:szCs w:val="17"/>
              </w:rPr>
              <w:t xml:space="preserve">COPY backend/app ./app</w:t>
            </w:r>
          </w:p>
          <w:p>
            <w:pPr>
              <w:spacing w:after="0" w:line="240"/>
            </w:pPr>
            <w:r>
              <w:rPr>
                <w:rFonts w:ascii="Consolas" w:cs="Consolas" w:eastAsia="Consolas" w:hAnsi="Consolas"/>
                <w:sz w:val="17"/>
                <w:szCs w:val="17"/>
              </w:rPr>
              <w:t xml:space="preserve">RUN useradd -r -u 10001 appuser</w:t>
            </w:r>
          </w:p>
          <w:p>
            <w:pPr>
              <w:spacing w:after="0" w:line="240"/>
            </w:pPr>
            <w:r>
              <w:rPr>
                <w:rFonts w:ascii="Consolas" w:cs="Consolas" w:eastAsia="Consolas" w:hAnsi="Consolas"/>
                <w:sz w:val="17"/>
                <w:szCs w:val="17"/>
              </w:rPr>
              <w:t xml:space="preserve">USER appuser</w:t>
            </w:r>
          </w:p>
          <w:p>
            <w:pPr>
              <w:spacing w:after="0" w:line="240"/>
            </w:pPr>
            <w:r>
              <w:rPr>
                <w:rFonts w:ascii="Consolas" w:cs="Consolas" w:eastAsia="Consolas" w:hAnsi="Consolas"/>
                <w:sz w:val="17"/>
                <w:szCs w:val="17"/>
              </w:rPr>
              <w:t xml:space="preserve">EXPOSE 8000</w:t>
            </w:r>
          </w:p>
          <w:p>
            <w:pPr>
              <w:spacing w:after="0" w:line="240"/>
            </w:pPr>
            <w:r>
              <w:rPr>
                <w:rFonts w:ascii="Consolas" w:cs="Consolas" w:eastAsia="Consolas" w:hAnsi="Consolas"/>
                <w:sz w:val="17"/>
                <w:szCs w:val="17"/>
              </w:rPr>
              <w:t xml:space="preserve">CMD ["uvicorn", "app.main:app", "--host", "0.0.0.0", "--port", "8000"]</w:t>
            </w:r>
          </w:p>
        </w:tc>
      </w:tr>
    </w:tbl>
    <w:p>
      <w:pPr>
        <w:spacing w:after="120" w:line="276"/>
      </w:pPr>
      <w:r>
        <w:rPr>
          <w:rFonts w:ascii="Calibri" w:cs="Calibri" w:eastAsia="Calibri" w:hAnsi="Calibri"/>
          <w:sz w:val="22"/>
          <w:szCs w:val="22"/>
        </w:rPr>
        <w:t xml:space="preserve">Workers reuse the image and override the command. The attachment-parsing step runs in a worker with no outbound network. If you host the agents yourself, build separate small images for them from the agents folder.</w:t>
      </w:r>
    </w:p>
    <w:p>
      <w:pPr>
        <w:pStyle w:val="Heading1"/>
      </w:pPr>
      <w:r>
        <w:t xml:space="preserve">4. Configuration and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Setting</w:t>
            </w:r>
          </w:p>
        </w:tc>
        <w:tc>
          <w:tcPr>
            <w:tcW w:type="dxa" w:w="4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Source</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AGENT_RECRUITER_URL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 setting (per environment)</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AGENT_RECRUITER_TOKEN</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reference</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AGENT_SCORER_URL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 setting (per environment)</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AGENT_SCORER_TOKEN</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reference, different from the recruiter token</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DATABASE_URL per role (tool_api, scoring_worker, ingest, report)</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 Vault references; none has BYPASSRLS</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GRAPH certificate or credential</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managed identity</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Service Bus namespace and queue names</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 setting, managed identity</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Tenant configuration (weights, budgets, max active JDs)</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Database tenants.config</w:t>
            </w:r>
          </w:p>
        </w:tc>
      </w:tr>
    </w:tbl>
    <w:p>
      <w:pPr>
        <w:spacing w:after="120" w:line="276"/>
      </w:pPr>
      <w:r>
        <w:rPr>
          <w:rFonts w:ascii="Calibri" w:cs="Calibri" w:eastAsia="Calibri" w:hAnsi="Calibri"/>
          <w:sz w:val="22"/>
          <w:szCs w:val="22"/>
        </w:rPr>
        <w:t xml:space="preserve">Token rotation: create the new token, add it as the second valid value in Key Vault and in the agent, switch the application setting, confirm calls succeed, then revoke the old token. Repeat per agent and per environment.</w:t>
      </w:r>
    </w:p>
    <w:p>
      <w:pPr>
        <w:pStyle w:val="Heading1"/>
      </w:pPr>
      <w:r>
        <w:t xml:space="preserve">5. Infrastructure as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 main.bicep (outline; verify API versions in current docs)</w:t>
            </w:r>
          </w:p>
          <w:p>
            <w:pPr>
              <w:spacing w:after="0" w:line="240"/>
            </w:pPr>
            <w:r>
              <w:rPr>
                <w:rFonts w:ascii="Consolas" w:cs="Consolas" w:eastAsia="Consolas" w:hAnsi="Consolas"/>
                <w:sz w:val="17"/>
                <w:szCs w:val="17"/>
              </w:rPr>
              <w:t xml:space="preserve">param env string</w:t>
            </w:r>
          </w:p>
          <w:p>
            <w:pPr>
              <w:spacing w:after="0" w:line="240"/>
            </w:pPr>
            <w:r>
              <w:rPr>
                <w:rFonts w:ascii="Consolas" w:cs="Consolas" w:eastAsia="Consolas" w:hAnsi="Consolas"/>
                <w:sz w:val="17"/>
                <w:szCs w:val="17"/>
              </w:rPr>
              <w:t xml:space="preserve">param location string = resourceGroup().location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module network 'modules/network.bicep'    = { name: 'net',  params: { env: env, location: location } }</w:t>
            </w:r>
          </w:p>
          <w:p>
            <w:pPr>
              <w:spacing w:after="0" w:line="240"/>
            </w:pPr>
            <w:r>
              <w:rPr>
                <w:rFonts w:ascii="Consolas" w:cs="Consolas" w:eastAsia="Consolas" w:hAnsi="Consolas"/>
                <w:sz w:val="17"/>
                <w:szCs w:val="17"/>
              </w:rPr>
              <w:t xml:space="preserve">module kv      'modules/keyvault.bicep'   = { name: 'kv',   params: { env: env, location: location } }</w:t>
            </w:r>
          </w:p>
          <w:p>
            <w:pPr>
              <w:spacing w:after="0" w:line="240"/>
            </w:pPr>
            <w:r>
              <w:rPr>
                <w:rFonts w:ascii="Consolas" w:cs="Consolas" w:eastAsia="Consolas" w:hAnsi="Consolas"/>
                <w:sz w:val="17"/>
                <w:szCs w:val="17"/>
              </w:rPr>
              <w:t xml:space="preserve">module pg      'modules/postgres.bicep'   = { name: 'pg',   params: { env: env, location: location, subnetId: network.outputs.dbSubnet } }</w:t>
            </w:r>
          </w:p>
          <w:p>
            <w:pPr>
              <w:spacing w:after="0" w:line="240"/>
            </w:pPr>
            <w:r>
              <w:rPr>
                <w:rFonts w:ascii="Consolas" w:cs="Consolas" w:eastAsia="Consolas" w:hAnsi="Consolas"/>
                <w:sz w:val="17"/>
                <w:szCs w:val="17"/>
              </w:rPr>
              <w:t xml:space="preserve">module blob    'modules/storage.bicep'    = { name: 'blob', params: { env: env, location: location } }</w:t>
            </w:r>
          </w:p>
          <w:p>
            <w:pPr>
              <w:spacing w:after="0" w:line="240"/>
            </w:pPr>
            <w:r>
              <w:rPr>
                <w:rFonts w:ascii="Consolas" w:cs="Consolas" w:eastAsia="Consolas" w:hAnsi="Consolas"/>
                <w:sz w:val="17"/>
                <w:szCs w:val="17"/>
              </w:rPr>
              <w:t xml:space="preserve">module sb      'modules/servicebus.bicep' = { name: 'sb',   params: { env: env, location: location, queues: ['ingest', 'scoring'] } }</w:t>
            </w:r>
          </w:p>
          <w:p>
            <w:pPr>
              <w:spacing w:after="0" w:line="240"/>
            </w:pPr>
            <w:r>
              <w:rPr>
                <w:rFonts w:ascii="Consolas" w:cs="Consolas" w:eastAsia="Consolas" w:hAnsi="Consolas"/>
                <w:sz w:val="17"/>
                <w:szCs w:val="17"/>
              </w:rPr>
              <w:t xml:space="preserve">module acaEnv  'modules/aca-env.bicep'    = { name: 'aca',  params: { env: env, location: location, subnetId: network.outputs.acaSubnet } }</w:t>
            </w:r>
          </w:p>
          <w:p>
            <w:pPr>
              <w:spacing w:after="0" w:line="240"/>
            </w:pPr>
            <w:r>
              <w:rPr>
                <w:rFonts w:ascii="Consolas" w:cs="Consolas" w:eastAsia="Consolas" w:hAnsi="Consolas"/>
                <w:sz w:val="17"/>
                <w:szCs w:val="17"/>
              </w:rPr>
              <w:t xml:space="preserve">module apps    'modules/apps.bicep'       = { name: 'apps', params: { env: env, acaEnvId: acaEnv.outputs.id, kvName: kv.outputs.name } }</w:t>
            </w:r>
          </w:p>
        </w:tc>
      </w:tr>
    </w:tbl>
    <w:p>
      <w:pPr>
        <w:spacing w:after="120" w:line="276"/>
      </w:pPr>
      <w:r>
        <w:rPr>
          <w:rFonts w:ascii="Calibri" w:cs="Calibri" w:eastAsia="Calibri" w:hAnsi="Calibri"/>
          <w:sz w:val="22"/>
          <w:szCs w:val="22"/>
        </w:rPr>
        <w:t xml:space="preserve">Each module sets private endpoints, diagnostics and role assignments for the managed identities. Environment differences (replicas, SKUs, HA) are parameters.</w:t>
      </w:r>
    </w:p>
    <w:p>
      <w:pPr>
        <w:pStyle w:val="Heading1"/>
      </w:pPr>
      <w:r>
        <w:t xml:space="preserve">6.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900"/>
        <w:gridCol w:w="2160"/>
      </w:tblGrid>
      <w:tr>
        <w:trPr>
          <w:tblHeader/>
        </w:trPr>
        <w:tc>
          <w:tcPr>
            <w:tcW w:type="dxa" w:w="13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Environment</w:t>
            </w:r>
          </w:p>
        </w:tc>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Purpose</w:t>
            </w:r>
          </w:p>
        </w:tc>
        <w:tc>
          <w:tcPr>
            <w:tcW w:type="dxa" w:w="29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Data</w:t>
            </w:r>
          </w:p>
        </w:tc>
        <w:tc>
          <w:tcPr>
            <w:tcW w:type="dxa" w:w="2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Scoring Agent</w:t>
            </w:r>
          </w:p>
        </w:tc>
      </w:tr>
      <w:t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dev</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Developer testing</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Synthetic or anonymised only</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Fake agent by default</w:t>
            </w:r>
          </w:p>
        </w:tc>
      </w:tr>
      <w:tr>
        <w:tc>
          <w:tcPr>
            <w:tcW w:type="dxa" w:w="1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staging</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Release candidate, load, security and stability tests</w:t>
            </w:r>
          </w:p>
        </w:tc>
        <w:tc>
          <w:tcPr>
            <w:tcW w:type="dxa" w:w="2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Anonymised copy and own test tenants</w:t>
            </w:r>
          </w:p>
        </w:tc>
        <w:tc>
          <w:tcPr>
            <w:tcW w:type="dxa" w:w="2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Real agent, separate token</w:t>
            </w:r>
          </w:p>
        </w:tc>
      </w:tr>
      <w:t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prod</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Customers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Real data, separate subscription</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Real agent, separate token</w:t>
            </w:r>
          </w:p>
        </w:tc>
      </w:tr>
    </w:tbl>
    <w:p>
      <w:pPr>
        <w:spacing w:after="120" w:line="276"/>
      </w:pPr>
      <w:r>
        <w:rPr>
          <w:rFonts w:ascii="Calibri" w:cs="Calibri" w:eastAsia="Calibri" w:hAnsi="Calibri"/>
          <w:sz w:val="22"/>
          <w:szCs w:val="22"/>
        </w:rPr>
        <w:t xml:space="preserve">Never copy real candidate data to dev or staging.</w:t>
      </w:r>
    </w:p>
    <w:p>
      <w:pPr>
        <w:pStyle w:val="Heading1"/>
      </w:pPr>
      <w:r>
        <w:t xml:space="preserve">7.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160"/>
      </w:tblGrid>
      <w:tr>
        <w:trPr>
          <w:tblHeader/>
        </w:trPr>
        <w:tc>
          <w:tcPr>
            <w:tcW w:type="dxa" w:w="17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Stage</w:t>
            </w:r>
          </w:p>
        </w:tc>
        <w:tc>
          <w:tcPr>
            <w:tcW w:type="dxa" w:w="55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Steps</w:t>
            </w:r>
          </w:p>
        </w:tc>
        <w:tc>
          <w:tcPr>
            <w:tcW w:type="dxa" w:w="2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Gate</w:t>
            </w:r>
          </w:p>
        </w:tc>
      </w:tr>
      <w:tr>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1. Build</w:t>
            </w:r>
          </w:p>
        </w:tc>
        <w:tc>
          <w:tcPr>
            <w:tcW w:type="dxa" w:w="5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Lint, unit tests, parser golden tests, details-score tests, build images</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All green</w:t>
            </w:r>
          </w:p>
        </w:tc>
      </w:tr>
      <w:tr>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 Scan</w:t>
            </w:r>
          </w:p>
        </w:tc>
        <w:tc>
          <w:tcPr>
            <w:tcW w:type="dxa" w:w="55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Dependency, container and secret scans, SBOM</w:t>
            </w:r>
          </w:p>
        </w:tc>
        <w:tc>
          <w:tcPr>
            <w:tcW w:type="dxa" w:w="2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 high or critical findings</w:t>
            </w:r>
          </w:p>
        </w:tc>
      </w:tr>
      <w:tr>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 Integration</w:t>
            </w:r>
          </w:p>
        </w:tc>
        <w:tc>
          <w:tcPr>
            <w:tcW w:type="dxa" w:w="5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Database and queues, API tests, RLS cross-tenant test, score-write privilege test, fake-agent scoring scenarios</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All green</w:t>
            </w:r>
          </w:p>
        </w:tc>
      </w:tr>
      <w:tr>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4. Deploy staging</w:t>
            </w:r>
          </w:p>
        </w:tc>
        <w:tc>
          <w:tcPr>
            <w:tcW w:type="dxa" w:w="55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IaC, migrations, new revision</w:t>
            </w:r>
          </w:p>
        </w:tc>
        <w:tc>
          <w:tcPr>
            <w:tcW w:type="dxa" w:w="2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Smoke tests pass</w:t>
            </w:r>
          </w:p>
        </w:tc>
      </w:tr>
      <w:tr>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5. Staging validation</w:t>
            </w:r>
          </w:p>
        </w:tc>
        <w:tc>
          <w:tcPr>
            <w:tcW w:type="dxa" w:w="5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Stability test and accuracy test on the real Scoring Agent, injection test set, load test on release candidates</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Within recorded baselines</w:t>
            </w:r>
          </w:p>
        </w:tc>
      </w:tr>
      <w:tr>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6. Approval</w:t>
            </w:r>
          </w:p>
        </w:tc>
        <w:tc>
          <w:tcPr>
            <w:tcW w:type="dxa" w:w="55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Release owner approves</w:t>
            </w:r>
          </w:p>
        </w:tc>
        <w:tc>
          <w:tcPr>
            <w:tcW w:type="dxa" w:w="2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Required for prod</w:t>
            </w:r>
          </w:p>
        </w:tc>
      </w:tr>
      <w:tr>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7. Deploy prod</w:t>
            </w:r>
          </w:p>
        </w:tc>
        <w:tc>
          <w:tcPr>
            <w:tcW w:type="dxa" w:w="5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Migrations, then revision with traffic split (10 percent, then 100 percent)</w:t>
            </w:r>
          </w:p>
        </w:tc>
        <w:tc>
          <w:tcPr>
            <w:tcW w:type="dxa" w:w="2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Error rate and queue health checked between steps</w:t>
            </w:r>
          </w:p>
        </w:tc>
      </w:tr>
      <w:tr>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8. Post-deploy</w:t>
            </w:r>
          </w:p>
        </w:tc>
        <w:tc>
          <w:tcPr>
            <w:tcW w:type="dxa" w:w="55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Synthetic check: ingest a test mail, activate a test JD, score, query Top 5</w:t>
            </w:r>
          </w:p>
        </w:tc>
        <w:tc>
          <w:tcPr>
            <w:tcW w:type="dxa" w:w="2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Pass, otherwise roll back</w:t>
            </w:r>
          </w:p>
        </w:tc>
      </w:tr>
    </w:tbl>
    <w:p>
      <w:pPr>
        <w:pStyle w:val="Heading2"/>
      </w:pPr>
      <w:r>
        <w:t xml:space="preserve">7.1 Migrations and rollback</w:t>
      </w:r>
    </w:p>
    <w:p>
      <w:pPr>
        <w:pStyle w:val="ListParagraph"/>
        <w:numPr>
          <w:ilvl w:val="0"/>
          <w:numId w:val="2"/>
        </w:numPr>
        <w:spacing w:after="60" w:line="264"/>
      </w:pPr>
      <w:r>
        <w:rPr>
          <w:rFonts w:ascii="Calibri" w:cs="Calibri" w:eastAsia="Calibri" w:hAnsi="Calibri"/>
          <w:sz w:val="22"/>
          <w:szCs w:val="22"/>
        </w:rPr>
        <w:t xml:space="preserve">Alembic migrations run with the owner role as a separate job before traffic moves. Use expand and contract so old code runs on the new schema.</w:t>
      </w:r>
    </w:p>
    <w:p>
      <w:pPr>
        <w:pStyle w:val="ListParagraph"/>
        <w:numPr>
          <w:ilvl w:val="0"/>
          <w:numId w:val="2"/>
        </w:numPr>
        <w:spacing w:after="60" w:line="264"/>
      </w:pPr>
      <w:r>
        <w:rPr>
          <w:rFonts w:ascii="Calibri" w:cs="Calibri" w:eastAsia="Calibri" w:hAnsi="Calibri"/>
          <w:sz w:val="22"/>
          <w:szCs w:val="22"/>
        </w:rPr>
        <w:t xml:space="preserve">Backup point before each production migration.</w:t>
      </w:r>
    </w:p>
    <w:p>
      <w:pPr>
        <w:pStyle w:val="ListParagraph"/>
        <w:numPr>
          <w:ilvl w:val="0"/>
          <w:numId w:val="2"/>
        </w:numPr>
        <w:spacing w:after="60" w:line="264"/>
      </w:pPr>
      <w:r>
        <w:rPr>
          <w:rFonts w:ascii="Calibri" w:cs="Calibri" w:eastAsia="Calibri" w:hAnsi="Calibri"/>
          <w:sz w:val="22"/>
          <w:szCs w:val="22"/>
        </w:rPr>
        <w:t xml:space="preserve">Rollback: shift traffic to the previous revision. Prompt version, model version and scoring weights are configuration and are reverted independently of code.</w:t>
      </w:r>
    </w:p>
    <w:p>
      <w:pPr>
        <w:pStyle w:val="ListParagraph"/>
        <w:numPr>
          <w:ilvl w:val="0"/>
          <w:numId w:val="2"/>
        </w:numPr>
        <w:spacing w:after="60" w:line="264"/>
      </w:pPr>
      <w:r>
        <w:rPr>
          <w:rFonts w:ascii="Calibri" w:cs="Calibri" w:eastAsia="Calibri" w:hAnsi="Calibri"/>
          <w:sz w:val="22"/>
          <w:szCs w:val="22"/>
        </w:rPr>
        <w:t xml:space="preserve">A prompt or model change goes live only after the stability and accuracy tests pass in staging.</w:t>
      </w:r>
    </w:p>
    <w:p>
      <w:pPr>
        <w:pStyle w:val="Heading1"/>
      </w:pPr>
      <w:r>
        <w:t xml:space="preserve">8. Scaling and Cost Control</w:t>
      </w:r>
    </w:p>
    <w:p>
      <w:pPr>
        <w:pStyle w:val="ListParagraph"/>
        <w:numPr>
          <w:ilvl w:val="0"/>
          <w:numId w:val="2"/>
        </w:numPr>
        <w:spacing w:after="60" w:line="264"/>
      </w:pPr>
      <w:r>
        <w:rPr>
          <w:rFonts w:ascii="Calibri" w:cs="Calibri" w:eastAsia="Calibri" w:hAnsi="Calibri"/>
          <w:sz w:val="22"/>
          <w:szCs w:val="22"/>
        </w:rPr>
        <w:t xml:space="preserve">Scoring workers scale on queue depth, capped by max_parallel and the Scoring Agent rate limit. Jobs are ordered by priority (best details score first).</w:t>
      </w:r>
    </w:p>
    <w:p>
      <w:pPr>
        <w:pStyle w:val="ListParagraph"/>
        <w:numPr>
          <w:ilvl w:val="0"/>
          <w:numId w:val="2"/>
        </w:numPr>
        <w:spacing w:after="60" w:line="264"/>
      </w:pPr>
      <w:r>
        <w:rPr>
          <w:rFonts w:ascii="Calibri" w:cs="Calibri" w:eastAsia="Calibri" w:hAnsi="Calibri"/>
          <w:sz w:val="22"/>
          <w:szCs w:val="22"/>
        </w:rPr>
        <w:t xml:space="preserve">Use a connection pooler for PostgreSQL and size pools per replica.</w:t>
      </w:r>
    </w:p>
    <w:p>
      <w:pPr>
        <w:pStyle w:val="ListParagraph"/>
        <w:numPr>
          <w:ilvl w:val="0"/>
          <w:numId w:val="2"/>
        </w:numPr>
        <w:spacing w:after="60" w:line="264"/>
      </w:pPr>
      <w:r>
        <w:rPr>
          <w:rFonts w:ascii="Calibri" w:cs="Calibri" w:eastAsia="Calibri" w:hAnsi="Calibri"/>
          <w:sz w:val="22"/>
          <w:szCs w:val="22"/>
        </w:rPr>
        <w:t xml:space="preserve">LLM calls = candidates with a resume x active JDs, minus cached scores. Control with: max active JDs per tenant, daily call budget, input-hash cache, and re-scoring only when inputs change.</w:t>
      </w:r>
    </w:p>
    <w:p>
      <w:pPr>
        <w:pStyle w:val="ListParagraph"/>
        <w:numPr>
          <w:ilvl w:val="0"/>
          <w:numId w:val="2"/>
        </w:numPr>
        <w:spacing w:after="60" w:line="264"/>
      </w:pPr>
      <w:r>
        <w:rPr>
          <w:rFonts w:ascii="Calibri" w:cs="Calibri" w:eastAsia="Calibri" w:hAnsi="Calibri"/>
          <w:sz w:val="22"/>
          <w:szCs w:val="22"/>
        </w:rPr>
        <w:t xml:space="preserve">A circuit breaker pauses the scoring queue when the Scoring Agent fails repeatedly.</w:t>
      </w:r>
    </w:p>
    <w:p>
      <w:pPr>
        <w:pStyle w:val="Heading1"/>
      </w:pPr>
      <w:r>
        <w:t xml:space="preserve">9. Monitoring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Signal</w:t>
            </w:r>
          </w:p>
        </w:tc>
        <w:tc>
          <w:tcPr>
            <w:tcW w:type="dxa" w:w="4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Alert condition</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Dead-letter queue depth (ingest and scoring)</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Greater than 0 for 10 minutes</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Mail age: now minus latest synced received_at</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Above agreed threshold</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Scoring backlog age and queue depth</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Above threshold for an active JD</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failure rate and Scoring Agent latency p95</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Above baseline</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Stability canary drift (nightly re-score of fixed pairs)</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Outside 5 points on more than the agreed share</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Share of scores with flags (unverified_evidence, low_confidence, resume_missing)</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Sudden rise</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Webhook subscription expiry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Under 24 hours left and not renewed</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 token expiry or unusual use</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Within 14 days of expiry or unusual source</w:t>
            </w:r>
          </w:p>
        </w:tc>
      </w:tr>
      <w:t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Tool API error rate and latency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Above baseline</w:t>
            </w:r>
          </w:p>
        </w:tc>
      </w:tr>
      <w:tr>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LLM cost per tenant per day</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Above budget</w:t>
            </w:r>
          </w:p>
        </w:tc>
      </w:tr>
    </w:tbl>
    <w:p>
      <w:pPr>
        <w:spacing w:after="120" w:line="276"/>
      </w:pPr>
      <w:r>
        <w:rPr>
          <w:rFonts w:ascii="Calibri" w:cs="Calibri" w:eastAsia="Calibri" w:hAnsi="Calibri"/>
          <w:sz w:val="22"/>
          <w:szCs w:val="22"/>
        </w:rPr>
        <w:t xml:space="preserve">Dashboard: mails per hour, ingestion lag, parse success, candidates created and merged, unscored candidates, scoring progress per JD, ranking latency, stability metric, LLM cost per tenant.</w:t>
      </w:r>
    </w:p>
    <w:p>
      <w:pPr>
        <w:pStyle w:val="Heading1"/>
      </w:pPr>
      <w:r>
        <w:t xml:space="preserve">10. Backup and Disaster Recovery</w:t>
      </w:r>
    </w:p>
    <w:p>
      <w:pPr>
        <w:pStyle w:val="ListParagraph"/>
        <w:numPr>
          <w:ilvl w:val="0"/>
          <w:numId w:val="2"/>
        </w:numPr>
        <w:spacing w:after="60" w:line="264"/>
      </w:pPr>
      <w:r>
        <w:rPr>
          <w:rFonts w:ascii="Calibri" w:cs="Calibri" w:eastAsia="Calibri" w:hAnsi="Calibri"/>
          <w:sz w:val="22"/>
          <w:szCs w:val="22"/>
        </w:rPr>
        <w:t xml:space="preserve">PostgreSQL: point-in-time restore and zone-redundant HA in prod. Proposal to agree: RPO 15 minutes, RTO 4 hours.</w:t>
      </w:r>
    </w:p>
    <w:p>
      <w:pPr>
        <w:pStyle w:val="ListParagraph"/>
        <w:numPr>
          <w:ilvl w:val="0"/>
          <w:numId w:val="2"/>
        </w:numPr>
        <w:spacing w:after="60" w:line="264"/>
      </w:pPr>
      <w:r>
        <w:rPr>
          <w:rFonts w:ascii="Calibri" w:cs="Calibri" w:eastAsia="Calibri" w:hAnsi="Calibri"/>
          <w:sz w:val="22"/>
          <w:szCs w:val="22"/>
        </w:rPr>
        <w:t xml:space="preserve">Blob: soft delete and versioning; consider geo-replication.</w:t>
      </w:r>
    </w:p>
    <w:p>
      <w:pPr>
        <w:pStyle w:val="ListParagraph"/>
        <w:numPr>
          <w:ilvl w:val="0"/>
          <w:numId w:val="2"/>
        </w:numPr>
        <w:spacing w:after="60" w:line="264"/>
      </w:pPr>
      <w:r>
        <w:rPr>
          <w:rFonts w:ascii="Calibri" w:cs="Calibri" w:eastAsia="Calibri" w:hAnsi="Calibri"/>
          <w:sz w:val="22"/>
          <w:szCs w:val="22"/>
        </w:rPr>
        <w:t xml:space="preserve">State can be rebuilt: Graph delta resync plus raw mails in Blob allow reprocessing; scoring can be re-run from stored inputs.</w:t>
      </w:r>
    </w:p>
    <w:p>
      <w:pPr>
        <w:pStyle w:val="ListParagraph"/>
        <w:numPr>
          <w:ilvl w:val="0"/>
          <w:numId w:val="2"/>
        </w:numPr>
        <w:spacing w:after="60" w:line="264"/>
      </w:pPr>
      <w:r>
        <w:rPr>
          <w:rFonts w:ascii="Calibri" w:cs="Calibri" w:eastAsia="Calibri" w:hAnsi="Calibri"/>
          <w:sz w:val="22"/>
          <w:szCs w:val="22"/>
        </w:rPr>
        <w:t xml:space="preserve">Restore drill each quarter; record the measured RTO.</w:t>
      </w:r>
    </w:p>
    <w:p>
      <w:pPr>
        <w:pStyle w:val="Heading1"/>
      </w:pPr>
      <w:r>
        <w:t xml:space="preserve">11. Customer Onboarding (external)</w:t>
      </w:r>
    </w:p>
    <w:p>
      <w:pPr>
        <w:pStyle w:val="ListParagraph"/>
        <w:numPr>
          <w:ilvl w:val="0"/>
          <w:numId w:val="3"/>
        </w:numPr>
        <w:spacing w:after="60" w:line="264"/>
      </w:pPr>
      <w:r>
        <w:rPr>
          <w:rFonts w:ascii="Calibri" w:cs="Calibri" w:eastAsia="Calibri" w:hAnsi="Calibri"/>
          <w:sz w:val="22"/>
          <w:szCs w:val="22"/>
        </w:rPr>
        <w:t xml:space="preserve">Create the tenant record and default configuration.</w:t>
      </w:r>
    </w:p>
    <w:p>
      <w:pPr>
        <w:pStyle w:val="ListParagraph"/>
        <w:numPr>
          <w:ilvl w:val="0"/>
          <w:numId w:val="3"/>
        </w:numPr>
        <w:spacing w:after="60" w:line="264"/>
      </w:pPr>
      <w:r>
        <w:rPr>
          <w:rFonts w:ascii="Calibri" w:cs="Calibri" w:eastAsia="Calibri" w:hAnsi="Calibri"/>
          <w:sz w:val="22"/>
          <w:szCs w:val="22"/>
        </w:rPr>
        <w:t xml:space="preserve">Send the admin consent link for the Graph app to the customer's Microsoft 365 admin.</w:t>
      </w:r>
    </w:p>
    <w:p>
      <w:pPr>
        <w:pStyle w:val="ListParagraph"/>
        <w:numPr>
          <w:ilvl w:val="0"/>
          <w:numId w:val="3"/>
        </w:numPr>
        <w:spacing w:after="60" w:line="264"/>
      </w:pPr>
      <w:r>
        <w:rPr>
          <w:rFonts w:ascii="Calibri" w:cs="Calibri" w:eastAsia="Calibri" w:hAnsi="Calibri"/>
          <w:sz w:val="22"/>
          <w:szCs w:val="22"/>
        </w:rPr>
        <w:t xml:space="preserve">Customer admin scopes the app to the chosen mailbox with Exchange RBAC for Applications (steps from current Microsoft documentation).</w:t>
      </w:r>
    </w:p>
    <w:p>
      <w:pPr>
        <w:pStyle w:val="ListParagraph"/>
        <w:numPr>
          <w:ilvl w:val="0"/>
          <w:numId w:val="3"/>
        </w:numPr>
        <w:spacing w:after="60" w:line="264"/>
      </w:pPr>
      <w:r>
        <w:rPr>
          <w:rFonts w:ascii="Calibri" w:cs="Calibri" w:eastAsia="Calibri" w:hAnsi="Calibri"/>
          <w:sz w:val="22"/>
          <w:szCs w:val="22"/>
        </w:rPr>
        <w:t xml:space="preserve">Issue the tenant's access (user token setup or per-tenant token) for the Recruiter Agent.</w:t>
      </w:r>
    </w:p>
    <w:p>
      <w:pPr>
        <w:pStyle w:val="ListParagraph"/>
        <w:numPr>
          <w:ilvl w:val="0"/>
          <w:numId w:val="3"/>
        </w:numPr>
        <w:spacing w:after="60" w:line="264"/>
      </w:pPr>
      <w:r>
        <w:rPr>
          <w:rFonts w:ascii="Calibri" w:cs="Calibri" w:eastAsia="Calibri" w:hAnsi="Calibri"/>
          <w:sz w:val="22"/>
          <w:szCs w:val="22"/>
        </w:rPr>
        <w:t xml:space="preserve">Run a test sync on a limited date range and review parser results.</w:t>
      </w:r>
    </w:p>
    <w:p>
      <w:pPr>
        <w:pStyle w:val="ListParagraph"/>
        <w:numPr>
          <w:ilvl w:val="0"/>
          <w:numId w:val="3"/>
        </w:numPr>
        <w:spacing w:after="60" w:line="264"/>
      </w:pPr>
      <w:r>
        <w:rPr>
          <w:rFonts w:ascii="Calibri" w:cs="Calibri" w:eastAsia="Calibri" w:hAnsi="Calibri"/>
          <w:sz w:val="22"/>
          <w:szCs w:val="22"/>
        </w:rPr>
        <w:t xml:space="preserve">Send a first JD, confirm the parsed requirements, review scoring results with the recruiter.</w:t>
      </w:r>
    </w:p>
    <w:p>
      <w:pPr>
        <w:pStyle w:val="ListParagraph"/>
        <w:numPr>
          <w:ilvl w:val="0"/>
          <w:numId w:val="3"/>
        </w:numPr>
        <w:spacing w:after="60" w:line="264"/>
      </w:pPr>
      <w:r>
        <w:rPr>
          <w:rFonts w:ascii="Calibri" w:cs="Calibri" w:eastAsia="Calibri" w:hAnsi="Calibri"/>
          <w:sz w:val="22"/>
          <w:szCs w:val="22"/>
        </w:rPr>
        <w:t xml:space="preserve">Enable webhooks and the scheduled safety-net sync.</w:t>
      </w:r>
    </w:p>
    <w:p>
      <w:pPr>
        <w:pStyle w:val="Heading1"/>
      </w:pPr>
      <w:r>
        <w:t xml:space="preserve">12. Go-Live Checklist</w:t>
      </w:r>
    </w:p>
    <w:p>
      <w:pPr>
        <w:pStyle w:val="ListParagraph"/>
        <w:numPr>
          <w:ilvl w:val="0"/>
          <w:numId w:val="2"/>
        </w:numPr>
        <w:spacing w:after="60" w:line="264"/>
      </w:pPr>
      <w:r>
        <w:rPr>
          <w:rFonts w:ascii="Calibri" w:cs="Calibri" w:eastAsia="Calibri" w:hAnsi="Calibri"/>
          <w:sz w:val="22"/>
          <w:szCs w:val="22"/>
        </w:rPr>
        <w:t xml:space="preserve">Infrastructure deployed from code in staging and prod</w:t>
      </w:r>
    </w:p>
    <w:p>
      <w:pPr>
        <w:pStyle w:val="ListParagraph"/>
        <w:numPr>
          <w:ilvl w:val="0"/>
          <w:numId w:val="2"/>
        </w:numPr>
        <w:spacing w:after="60" w:line="264"/>
      </w:pPr>
      <w:r>
        <w:rPr>
          <w:rFonts w:ascii="Calibri" w:cs="Calibri" w:eastAsia="Calibri" w:hAnsi="Calibri"/>
          <w:sz w:val="22"/>
          <w:szCs w:val="22"/>
        </w:rPr>
        <w:t xml:space="preserve">Private endpoints on; public access off where required</w:t>
      </w:r>
    </w:p>
    <w:p>
      <w:pPr>
        <w:pStyle w:val="ListParagraph"/>
        <w:numPr>
          <w:ilvl w:val="0"/>
          <w:numId w:val="2"/>
        </w:numPr>
        <w:spacing w:after="60" w:line="264"/>
      </w:pPr>
      <w:r>
        <w:rPr>
          <w:rFonts w:ascii="Calibri" w:cs="Calibri" w:eastAsia="Calibri" w:hAnsi="Calibri"/>
          <w:sz w:val="22"/>
          <w:szCs w:val="22"/>
        </w:rPr>
        <w:t xml:space="preserve">Agent tokens only in Key Vault; separate per agent and environment; rotation drill done</w:t>
      </w:r>
    </w:p>
    <w:p>
      <w:pPr>
        <w:pStyle w:val="ListParagraph"/>
        <w:numPr>
          <w:ilvl w:val="0"/>
          <w:numId w:val="2"/>
        </w:numPr>
        <w:spacing w:after="60" w:line="264"/>
      </w:pPr>
      <w:r>
        <w:rPr>
          <w:rFonts w:ascii="Calibri" w:cs="Calibri" w:eastAsia="Calibri" w:hAnsi="Calibri"/>
          <w:sz w:val="22"/>
          <w:szCs w:val="22"/>
        </w:rPr>
        <w:t xml:space="preserve">RLS, isolation and score-write tests green on the release candidate</w:t>
      </w:r>
    </w:p>
    <w:p>
      <w:pPr>
        <w:pStyle w:val="ListParagraph"/>
        <w:numPr>
          <w:ilvl w:val="0"/>
          <w:numId w:val="2"/>
        </w:numPr>
        <w:spacing w:after="60" w:line="264"/>
      </w:pPr>
      <w:r>
        <w:rPr>
          <w:rFonts w:ascii="Calibri" w:cs="Calibri" w:eastAsia="Calibri" w:hAnsi="Calibri"/>
          <w:sz w:val="22"/>
          <w:szCs w:val="22"/>
        </w:rPr>
        <w:t xml:space="preserve">Stability and accuracy results recorded and accepted</w:t>
      </w:r>
    </w:p>
    <w:p>
      <w:pPr>
        <w:pStyle w:val="ListParagraph"/>
        <w:numPr>
          <w:ilvl w:val="0"/>
          <w:numId w:val="2"/>
        </w:numPr>
        <w:spacing w:after="60" w:line="264"/>
      </w:pPr>
      <w:r>
        <w:rPr>
          <w:rFonts w:ascii="Calibri" w:cs="Calibri" w:eastAsia="Calibri" w:hAnsi="Calibri"/>
          <w:sz w:val="22"/>
          <w:szCs w:val="22"/>
        </w:rPr>
        <w:t xml:space="preserve">Load test results recorded against targets</w:t>
      </w:r>
    </w:p>
    <w:p>
      <w:pPr>
        <w:pStyle w:val="ListParagraph"/>
        <w:numPr>
          <w:ilvl w:val="0"/>
          <w:numId w:val="2"/>
        </w:numPr>
        <w:spacing w:after="60" w:line="264"/>
      </w:pPr>
      <w:r>
        <w:rPr>
          <w:rFonts w:ascii="Calibri" w:cs="Calibri" w:eastAsia="Calibri" w:hAnsi="Calibri"/>
          <w:sz w:val="22"/>
          <w:szCs w:val="22"/>
        </w:rPr>
        <w:t xml:space="preserve">Alerts tested; rollback rehearsed; restore drill completed</w:t>
      </w:r>
    </w:p>
    <w:p>
      <w:pPr>
        <w:pStyle w:val="ListParagraph"/>
        <w:numPr>
          <w:ilvl w:val="0"/>
          <w:numId w:val="2"/>
        </w:numPr>
        <w:spacing w:after="60" w:line="264"/>
      </w:pPr>
      <w:r>
        <w:rPr>
          <w:rFonts w:ascii="Calibri" w:cs="Calibri" w:eastAsia="Calibri" w:hAnsi="Calibri"/>
          <w:sz w:val="22"/>
          <w:szCs w:val="22"/>
        </w:rPr>
        <w:t xml:space="preserve">Runbooks and on-call contacts in place</w:t>
      </w:r>
    </w:p>
    <w:p>
      <w:pPr>
        <w:pStyle w:val="ListParagraph"/>
        <w:numPr>
          <w:ilvl w:val="0"/>
          <w:numId w:val="2"/>
        </w:numPr>
        <w:spacing w:after="60" w:line="264"/>
      </w:pPr>
      <w:r>
        <w:rPr>
          <w:rFonts w:ascii="Calibri" w:cs="Calibri" w:eastAsia="Calibri" w:hAnsi="Calibri"/>
          <w:sz w:val="22"/>
          <w:szCs w:val="22"/>
        </w:rPr>
        <w:t xml:space="preserve">Privacy and legal items from the Security document closed</w:t>
      </w:r>
    </w:p>
    <w:p>
      <w:pPr>
        <w:pStyle w:val="Heading1"/>
      </w:pPr>
      <w:r>
        <w:t xml:space="preserve">13. Roadmap</w:t>
      </w:r>
    </w:p>
    <w:p>
      <w:pPr>
        <w:pStyle w:val="Heading2"/>
      </w:pPr>
      <w:r>
        <w:t xml:space="preserve">13.1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rPr>
          <w:tblHeader/>
        </w:trPr>
        <w:tc>
          <w:tcPr>
            <w:tcW w:type="dxa" w:w="1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Weeks</w:t>
            </w:r>
          </w:p>
        </w:tc>
        <w:tc>
          <w:tcPr>
            <w:tcW w:type="dxa" w:w="46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Milestone</w:t>
            </w:r>
          </w:p>
        </w:tc>
        <w:tc>
          <w:tcPr>
            <w:tcW w:type="dxa" w:w="37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Exit criteria</w:t>
            </w:r>
          </w:p>
        </w:tc>
      </w:tr>
      <w:tr>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0-1</w:t>
            </w:r>
          </w:p>
        </w:tc>
        <w:tc>
          <w:tcPr>
            <w:tcW w:type="dxa" w:w="4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Phase 0: real data, labelled set, decisions</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Samples and answers in hand</w:t>
            </w:r>
          </w:p>
        </w:tc>
      </w:tr>
      <w:tr>
        <w:tc>
          <w:tcPr>
            <w:tcW w:type="dxa" w:w="1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1-2</w:t>
            </w:r>
          </w:p>
        </w:tc>
        <w:tc>
          <w:tcPr>
            <w:tcW w:type="dxa" w:w="4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Phase 1: foundation, schema, roles, isolation tests</w:t>
            </w:r>
          </w:p>
        </w:tc>
        <w:tc>
          <w:tcPr>
            <w:tcW w:type="dxa" w:w="3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Isolation and score-write tests pass</w:t>
            </w:r>
          </w:p>
        </w:tc>
      </w:tr>
      <w:tr>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3-4</w:t>
            </w:r>
          </w:p>
        </w:tc>
        <w:tc>
          <w:tcPr>
            <w:tcW w:type="dxa" w:w="4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Phase 2: ingestion, store only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Parser golden 100 percent, no duplicates, no scores</w:t>
            </w:r>
          </w:p>
        </w:tc>
      </w:tr>
      <w:tr>
        <w:tc>
          <w:tcPr>
            <w:tcW w:type="dxa" w:w="1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5-6</w:t>
            </w:r>
          </w:p>
        </w:tc>
        <w:tc>
          <w:tcPr>
            <w:tcW w:type="dxa" w:w="4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Phase 3: JD handling and Tool API</w:t>
            </w:r>
          </w:p>
        </w:tc>
        <w:tc>
          <w:tcPr>
            <w:tcW w:type="dxa" w:w="3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Full scenario runs with a fake Scoring Agent</w:t>
            </w:r>
          </w:p>
        </w:tc>
      </w:tr>
      <w:tr>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7-9</w:t>
            </w:r>
          </w:p>
        </w:tc>
        <w:tc>
          <w:tcPr>
            <w:tcW w:type="dxa" w:w="4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Phase 4: scoring pipeline and real Scoring Agent</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Accuracy and stability measured and accepted</w:t>
            </w:r>
          </w:p>
        </w:tc>
      </w:tr>
      <w:tr>
        <w:tc>
          <w:tcPr>
            <w:tcW w:type="dxa" w:w="1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10-11</w:t>
            </w:r>
          </w:p>
        </w:tc>
        <w:tc>
          <w:tcPr>
            <w:tcW w:type="dxa" w:w="4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Phase 5: Recruiter Agent and client</w:t>
            </w:r>
          </w:p>
        </w:tc>
        <w:tc>
          <w:tcPr>
            <w:tcW w:type="dxa" w:w="3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All recruiter scenarios pass</w:t>
            </w:r>
          </w:p>
        </w:tc>
      </w:tr>
      <w:tr>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12-13</w:t>
            </w:r>
          </w:p>
        </w:tc>
        <w:tc>
          <w:tcPr>
            <w:tcW w:type="dxa" w:w="4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Phase 6: hardening, pilot with one internal team</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Load, security and onboarding gates passed</w:t>
            </w:r>
          </w:p>
        </w:tc>
      </w:tr>
    </w:tbl>
    <w:p>
      <w:pPr>
        <w:spacing w:after="120" w:line="276"/>
      </w:pPr>
      <w:r>
        <w:rPr>
          <w:rFonts w:ascii="Calibri" w:cs="Calibri" w:eastAsia="Calibri" w:hAnsi="Calibri"/>
          <w:sz w:val="22"/>
          <w:szCs w:val="22"/>
        </w:rPr>
        <w:t xml:space="preserve">Estimates for two to three engineers. Phase 4 has the most uncertainty because it depends on measured scoring quality.</w:t>
      </w:r>
    </w:p>
    <w:p>
      <w:pPr>
        <w:pStyle w:val="Heading2"/>
      </w:pPr>
      <w:r>
        <w:t xml:space="preserve">13.2 After the first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w:t>
            </w:r>
          </w:p>
        </w:tc>
        <w:tc>
          <w:tcPr>
            <w:tcW w:type="dxa" w:w="5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Why</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Thin MCP adapter over the Tool API</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Lets customers plug in their own AI clients without changing business logic</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Additional source parsers (other portals, direct applications)</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Same registry; deterministic parser per source with golden tests</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Recruiter feedback on shortlists (accept or reject)</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Calibrates weights and prompts from real signals; review for bias before using</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Skill taxonomy and synonym graph</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Better matching than alias lists</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Dedicated deployment option for large tenants</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Isolation and residency for enterprise sales</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Scheduled digests: new strong candidates for open JDs</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Moves from reactive to proactive</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 communication drafts</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Needs send permissions and its own security review</w:t>
            </w:r>
          </w:p>
        </w:tc>
      </w:tr>
    </w:tbl>
    <w:p>
      <w:pPr>
        <w:pStyle w:val="Heading2"/>
      </w:pPr>
      <w:r>
        <w:t xml:space="preserve">13.3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160"/>
      </w:tblGrid>
      <w:tr>
        <w:trPr>
          <w:tblHeader/>
        </w:trPr>
        <w:tc>
          <w:tcPr>
            <w:tcW w:type="dxa" w:w="2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Risk</w:t>
            </w:r>
          </w:p>
        </w:tc>
        <w:tc>
          <w:tcPr>
            <w:tcW w:type="dxa" w:w="13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Likelihood</w:t>
            </w:r>
          </w:p>
        </w:tc>
        <w:tc>
          <w:tcPr>
            <w:tcW w:type="dxa" w:w="11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Impact</w:t>
            </w:r>
          </w:p>
        </w:tc>
        <w:tc>
          <w:tcPr>
            <w:tcW w:type="dxa" w:w="4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Mitigation</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NVite template changes</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High</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Golden tests, parser warnings</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stability below 90 percent target</w:t>
            </w:r>
          </w:p>
        </w:tc>
        <w:tc>
          <w:tcPr>
            <w:tcW w:type="dxa" w:w="1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High</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Rubric, coarse steps, evidence checks, repeat and median for top band, measurement before release</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Wrong merge of two people</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Low to medium</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High</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Strong keys first, 3-signal rule, reversible merges</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Resume text extraction fails</w:t>
            </w:r>
          </w:p>
        </w:tc>
        <w:tc>
          <w:tcPr>
            <w:tcW w:type="dxa" w:w="1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OCR, low-quality flag, details-only fallback</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Scoring cost grows</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Active JD cap, budget, cache</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Biased or unexplained ranking</w:t>
            </w:r>
          </w:p>
        </w:tc>
        <w:tc>
          <w:tcPr>
            <w:tcW w:type="dxa" w:w="1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High</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Blind scoring, reasons, human decision, periodic review</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token leak</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Low</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High</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 Vault, rotation, per-agent tokens, user-bound tokens</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Performance targets not met</w:t>
            </w:r>
          </w:p>
        </w:tc>
        <w:tc>
          <w:tcPr>
            <w:tcW w:type="dxa" w:w="1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Unknown</w:t>
            </w:r>
          </w:p>
        </w:tc>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Medium</w:t>
            </w:r>
          </w:p>
        </w:tc>
        <w:tc>
          <w:tcPr>
            <w:tcW w:type="dxa" w:w="4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Measure in Phase 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5F8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374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Guide and Roadmap</dc:title>
  <dc:creator>Hybrid Talent Pool</dc:creator>
  <cp:lastModifiedBy>Un-named</cp:lastModifiedBy>
  <cp:revision>1</cp:revision>
  <dcterms:created xsi:type="dcterms:W3CDTF">2026-10-07T05:12:38.611Z</dcterms:created>
  <dcterms:modified xsi:type="dcterms:W3CDTF">2026-10-07T05:12:38.611Z</dcterms:modified>
</cp:coreProperties>
</file>

<file path=docProps/custom.xml><?xml version="1.0" encoding="utf-8"?>
<Properties xmlns="http://schemas.openxmlformats.org/officeDocument/2006/custom-properties" xmlns:vt="http://schemas.openxmlformats.org/officeDocument/2006/docPropsVTypes"/>
</file>