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1" w:name="_Toc12"/>
      <w:r>
        <w:t>生产环境资料</w:t>
      </w:r>
      <w:bookmarkEnd w:id="11"/>
    </w:p>
    <w:p/>
    <w:p>
      <w:pPr>
        <w:pStyle w:val="Heading2"/>
      </w:pPr>
      <w:bookmarkStart w:id="12" w:name="_Toc13"/>
      <w:r>
        <w:t>如何获取服务器地址</w:t>
      </w:r>
      <w:bookmarkEnd w:id="1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13" w:name="_Toc14"/>
      <w:r>
        <w:t>如何获取公钥和私钥</w:t>
      </w:r>
      <w:bookmarkEnd w:id="13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14" w:name="_Toc15"/>
      <w:r>
        <w:t>接入导入</w:t>
      </w:r>
      <w:bookmarkEnd w:id="14"/>
    </w:p>
    <w:p/>
    <w:p>
      <w:pPr>
        <w:pStyle w:val="Heading2"/>
      </w:pPr>
      <w:bookmarkStart w:id="15" w:name="_Toc16"/>
      <w:r>
        <w:t>如何快速导入</w:t>
      </w:r>
      <w:bookmarkEnd w:id="1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16" w:name="_Toc17"/>
      <w:r>
        <w:t>签名无效的解决方案</w:t>
      </w:r>
      <w:bookmarkEnd w:id="1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17" w:name="_Toc18"/>
      <w:r>
        <w:t>附录</w:t>
      </w:r>
      <w:bookmarkEnd w:id="17"/>
    </w:p>
    <w:p/>
    <w:p>
      <w:pPr>
        <w:pStyle w:val="Heading2"/>
      </w:pPr>
      <w:bookmarkStart w:id="18" w:name="_Toc19"/>
      <w:r>
        <w:t>返回码列表</w:t>
      </w:r>
      <w:bookmarkEnd w:id="1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66628A0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A6C97CF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E539E1C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2C51D95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BF10F2D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4DE7D31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4C28EF42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1667D8D7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