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80" w:before="0"/>
        <w:jc w:val="center"/>
      </w:pPr>
      <w:r>
        <w:rPr>
          <w:rFonts w:ascii="Arial" w:cs="Arial" w:eastAsia="Arial" w:hAnsi="Arial"/>
          <w:b/>
          <w:bCs/>
          <w:color w:val="1F3864"/>
          <w:sz w:val="64"/>
          <w:szCs w:val="64"/>
        </w:rPr>
        <w:t xml:space="preserve">DEKE</w:t>
      </w:r>
    </w:p>
    <w:p>
      <w:pPr>
        <w:spacing w:after="80" w:before="0"/>
        <w:jc w:val="center"/>
      </w:pPr>
      <w:r>
        <w:rPr>
          <w:rFonts w:ascii="Arial" w:cs="Arial" w:eastAsia="Arial" w:hAnsi="Arial"/>
          <w:color w:val="595959"/>
          <w:sz w:val="30"/>
          <w:szCs w:val="30"/>
        </w:rPr>
        <w:t xml:space="preserve">Dynamic Expert Knowledge Engine</w:t>
      </w:r>
    </w:p>
    <w:p>
      <w:pPr>
        <w:pBdr>
          <w:bottom w:val="single" w:color="2E75B6" w:sz="6" w:space="1"/>
        </w:pBdr>
        <w:spacing w:after="0" w:before="0"/>
      </w:pPr>
    </w:p>
    <w:p>
      <w:pPr>
        <w:spacing w:after="80" w:before="120"/>
        <w:jc w:val="center"/>
      </w:pPr>
      <w:r>
        <w:rPr>
          <w:rFonts w:ascii="Arial" w:cs="Arial" w:eastAsia="Arial" w:hAnsi="Arial"/>
          <w:b/>
          <w:bCs/>
          <w:color w:val="1F3864"/>
          <w:sz w:val="36"/>
          <w:szCs w:val="36"/>
        </w:rPr>
        <w:t xml:space="preserve">Research Addendum &amp; Guardrail Analysis</w:t>
      </w:r>
    </w:p>
    <w:p>
      <w:pPr>
        <w:spacing w:after="80" w:before="0"/>
        <w:jc w:val="center"/>
      </w:pPr>
      <w:r>
        <w:rPr>
          <w:rFonts w:ascii="Arial" w:cs="Arial" w:eastAsia="Arial" w:hAnsi="Arial"/>
          <w:color w:val="595959"/>
          <w:sz w:val="22"/>
          <w:szCs w:val="22"/>
        </w:rPr>
        <w:t xml:space="preserve">Session: 2026-03-13  |  Document Suite Supplement</w:t>
      </w:r>
    </w:p>
    <w:p>
      <w:pPr>
        <w:pBdr>
          <w:bottom w:val="single" w:color="2E75B6" w:sz="6" w:space="1"/>
        </w:pBdr>
        <w:spacing w:after="0" w:before="0"/>
      </w:pPr>
    </w:p>
    <w:p>
      <w:pPr>
        <w:spacing w:after="120" w:before="0"/>
      </w:pPr>
    </w:p>
    <w:p>
      <w:pPr>
        <w:spacing w:after="120" w:before="0"/>
      </w:pPr>
    </w:p>
    <w:p>
      <w:pPr>
        <w:spacing w:after="60" w:before="0"/>
        <w:jc w:val="center"/>
      </w:pPr>
      <w:r>
        <w:rPr>
          <w:rFonts w:ascii="Arial" w:cs="Arial" w:eastAsia="Arial" w:hAnsi="Arial"/>
          <w:b/>
          <w:bCs/>
          <w:color w:val="595959"/>
          <w:sz w:val="22"/>
          <w:szCs w:val="22"/>
        </w:rPr>
        <w:t xml:space="preserve">Companion to:</w:t>
      </w:r>
    </w:p>
    <w:p>
      <w:pPr>
        <w:spacing w:after="40" w:before="0"/>
        <w:jc w:val="center"/>
      </w:pPr>
      <w:r>
        <w:rPr>
          <w:rFonts w:ascii="Arial" w:cs="Arial" w:eastAsia="Arial" w:hAnsi="Arial"/>
          <w:color w:val="2E75B6"/>
          <w:sz w:val="20"/>
          <w:szCs w:val="20"/>
        </w:rPr>
        <w:t xml:space="preserve">DEKE_Implementation_Plan.docx</w:t>
      </w:r>
    </w:p>
    <w:p>
      <w:pPr>
        <w:spacing w:after="40" w:before="0"/>
        <w:jc w:val="center"/>
      </w:pPr>
      <w:r>
        <w:rPr>
          <w:rFonts w:ascii="Arial" w:cs="Arial" w:eastAsia="Arial" w:hAnsi="Arial"/>
          <w:color w:val="2E75B6"/>
          <w:sz w:val="20"/>
          <w:szCs w:val="20"/>
        </w:rPr>
        <w:t xml:space="preserve">DEKE_Package2_Knowledge_Leverage.docx</w:t>
      </w:r>
    </w:p>
    <w:p>
      <w:pPr>
        <w:spacing w:after="40" w:before="0"/>
        <w:jc w:val="center"/>
      </w:pPr>
      <w:r>
        <w:rPr>
          <w:rFonts w:ascii="Arial" w:cs="Arial" w:eastAsia="Arial" w:hAnsi="Arial"/>
          <w:color w:val="2E75B6"/>
          <w:sz w:val="20"/>
          <w:szCs w:val="20"/>
        </w:rPr>
        <w:t xml:space="preserve">DEKE_Package3_Evolution_Engine.docx</w:t>
      </w:r>
    </w:p>
    <w:p>
      <w:pPr>
        <w:spacing w:after="40" w:before="0"/>
        <w:jc w:val="center"/>
      </w:pPr>
      <w:r>
        <w:rPr>
          <w:rFonts w:ascii="Arial" w:cs="Arial" w:eastAsia="Arial" w:hAnsi="Arial"/>
          <w:color w:val="2E75B6"/>
          <w:sz w:val="20"/>
          <w:szCs w:val="20"/>
        </w:rPr>
        <w:t xml:space="preserve">DEKE_Open_Items.docx</w:t>
      </w:r>
    </w:p>
    <w:p>
      <w:pPr>
        <w:spacing w:after="40" w:before="0"/>
        <w:jc w:val="center"/>
      </w:pPr>
      <w:r>
        <w:rPr>
          <w:rFonts w:ascii="Arial" w:cs="Arial" w:eastAsia="Arial" w:hAnsi="Arial"/>
          <w:color w:val="2E75B6"/>
          <w:sz w:val="20"/>
          <w:szCs w:val="20"/>
        </w:rPr>
        <w:t xml:space="preserve">DEKE_Master_Reference.docx</w:t>
      </w:r>
    </w:p>
    <w:p>
      <w:r>
        <w:br w:type="page"/>
      </w:r>
    </w:p>
    <w:p>
      <w:pPr>
        <w:pStyle w:val="Heading1"/>
        <w:spacing w:after="120" w:before="320"/>
      </w:pPr>
      <w:r>
        <w:rPr>
          <w:rFonts w:ascii="Arial" w:cs="Arial" w:eastAsia="Arial" w:hAnsi="Arial"/>
          <w:b/>
          <w:bCs/>
          <w:color w:val="1F3864"/>
          <w:sz w:val="28"/>
          <w:szCs w:val="28"/>
        </w:rPr>
        <w:t xml:space="preserve">Purpose of This Document</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This addendum captures two categories of insight from the 2026-03-13 design session that post-date the original document suite:</w:t>
      </w:r>
    </w:p>
    <w:p>
      <w:pPr>
        <w:spacing w:after="120" w:before="0"/>
      </w:pPr>
    </w:p>
    <w:p>
      <w:pPr>
        <w:pStyle w:val="ListParagraph"/>
        <w:numPr>
          <w:ilvl w:val="0"/>
          <w:numId w:val="2"/>
        </w:numPr>
        <w:spacing w:after="60" w:before="0"/>
      </w:pPr>
      <w:r>
        <w:rPr>
          <w:rFonts w:ascii="Arial" w:cs="Arial" w:eastAsia="Arial" w:hAnsi="Arial"/>
          <w:sz w:val="22"/>
          <w:szCs w:val="22"/>
        </w:rPr>
        <w:t xml:space="preserve">Five external research papers reviewed for DEKE relevance, with opinion on how each should influence or validate existing design decisions.</w:t>
      </w:r>
    </w:p>
    <w:p>
      <w:pPr>
        <w:pStyle w:val="ListParagraph"/>
        <w:numPr>
          <w:ilvl w:val="0"/>
          <w:numId w:val="2"/>
        </w:numPr>
        <w:spacing w:after="60" w:before="0"/>
      </w:pPr>
      <w:r>
        <w:rPr>
          <w:rFonts w:ascii="Arial" w:cs="Arial" w:eastAsia="Arial" w:hAnsi="Arial"/>
          <w:sz w:val="22"/>
          <w:szCs w:val="22"/>
        </w:rPr>
        <w:t xml:space="preserve">A guardrail analysis identifying risks in the current design that are not yet mitigated, with concrete proposals to address them.</w:t>
      </w:r>
    </w:p>
    <w:p>
      <w:pPr>
        <w:spacing w:after="120" w:before="0"/>
      </w:pPr>
    </w:p>
    <w:p>
      <w:pPr>
        <w:spacing w:after="120" w:before="0"/>
      </w:pPr>
      <w:r>
        <w:rPr>
          <w:rFonts w:ascii="Arial" w:cs="Arial" w:eastAsia="Arial" w:hAnsi="Arial"/>
          <w:sz w:val="22"/>
          <w:szCs w:val="22"/>
        </w:rPr>
        <w:t xml:space="preserve">Each section follows a consistent structure: summary, relevance opinion, and specific suggestions for how material should be incorporated into or consolidated with the existing suite. Action items are flagged with priority and target document.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EEAF1"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How to use this document</w:t>
            </w:r>
          </w:p>
          <w:p>
            <w:pPr>
              <w:spacing w:after="60" w:before="0"/>
            </w:pPr>
            <w:r>
              <w:rPr>
                <w:rFonts w:ascii="Arial" w:cs="Arial" w:eastAsia="Arial" w:hAnsi="Arial"/>
                <w:color w:val="595959"/>
                <w:sz w:val="20"/>
                <w:szCs w:val="20"/>
              </w:rPr>
              <w:t xml:space="preserve">Read alongside DEKE_Package3_Evolution_Engine.docx and DEKE_Open_Items.docx.</w:t>
            </w:r>
          </w:p>
          <w:p>
            <w:pPr>
              <w:spacing w:after="60" w:before="0"/>
            </w:pPr>
            <w:r>
              <w:rPr>
                <w:rFonts w:ascii="Arial" w:cs="Arial" w:eastAsia="Arial" w:hAnsi="Arial"/>
                <w:color w:val="595959"/>
                <w:sz w:val="20"/>
                <w:szCs w:val="20"/>
              </w:rPr>
              <w:t xml:space="preserve">Items marked CRITICAL PATH must be resolved before first advisory call.</w:t>
            </w:r>
          </w:p>
          <w:p>
            <w:pPr>
              <w:spacing w:after="60" w:before="0"/>
            </w:pPr>
            <w:r>
              <w:rPr>
                <w:rFonts w:ascii="Arial" w:cs="Arial" w:eastAsia="Arial" w:hAnsi="Arial"/>
                <w:color w:val="595959"/>
                <w:sz w:val="20"/>
                <w:szCs w:val="20"/>
              </w:rPr>
              <w:t xml:space="preserve">Items marked DESIGN AMENDMENT should be incorporated into the relevant package document at next edit.</w:t>
            </w:r>
          </w:p>
          <w:p>
            <w:pPr>
              <w:spacing w:after="60" w:before="0"/>
            </w:pPr>
            <w:r>
              <w:rPr>
                <w:rFonts w:ascii="Arial" w:cs="Arial" w:eastAsia="Arial" w:hAnsi="Arial"/>
                <w:color w:val="595959"/>
                <w:sz w:val="20"/>
                <w:szCs w:val="20"/>
              </w:rPr>
              <w:t xml:space="preserve">Items marked OPEN ITEM should be added to DEKE_Open_Items.docx backlog.</w:t>
            </w:r>
          </w:p>
        </w:tc>
      </w:tr>
    </w:tbl>
    <w:p>
      <w:r>
        <w:br w:type="page"/>
      </w:r>
    </w:p>
    <w:p>
      <w:pPr>
        <w:pStyle w:val="Heading1"/>
        <w:spacing w:after="120" w:before="320"/>
      </w:pPr>
      <w:r>
        <w:rPr>
          <w:rFonts w:ascii="Arial" w:cs="Arial" w:eastAsia="Arial" w:hAnsi="Arial"/>
          <w:b/>
          <w:bCs/>
          <w:color w:val="1F3864"/>
          <w:sz w:val="28"/>
          <w:szCs w:val="28"/>
        </w:rPr>
        <w:t xml:space="preserve">Part 1 — Research Papers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Five papers were reviewed for relevance to DEKE Packages 2 and 3. The following sections summarise each paper, state a preliminary relevance opinion, and suggest how the insight should be incorporated.</w:t>
      </w:r>
    </w:p>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1 — Evolution Strategies at Scale</w:t>
      </w:r>
    </w:p>
    <w:p>
      <w:pPr>
        <w:spacing w:after="120" w:before="0"/>
      </w:pPr>
      <w:r>
        <w:rPr>
          <w:rFonts w:ascii="Arial" w:cs="Arial" w:eastAsia="Arial" w:hAnsi="Arial"/>
          <w:i/>
          <w:iCs/>
          <w:color w:val="595959"/>
          <w:sz w:val="22"/>
          <w:szCs w:val="22"/>
        </w:rPr>
        <w:t xml:space="preserve">arXiv:2509.24372  |  Cognizant AI Lab / MIT  |  Code: github.com/VsonicV/es-fine-tuning-paper</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First successful application of Evolution Strategies (ES) to full-parameter LLM fine-tuning at billion-parameter scale. ES is shown to outperform RL methods (GRPO, PPO) on sample efficiency, long-horizon reward tolerance, reward hacking resistance, and cross-variant robustness. A population size of 30 is sufficient; no backpropagation is required. The core anti-Goodhart property: ES optimises a solution distribution rather than a single point, making it harder to exploit.</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HIGHLY RELEVANT — validates MAP-Elites choice</w:t>
            </w:r>
          </w:p>
          <w:p>
            <w:pPr>
              <w:spacing w:after="60" w:before="0"/>
            </w:pPr>
            <w:r>
              <w:rPr>
                <w:rFonts w:ascii="Arial" w:cs="Arial" w:eastAsia="Arial" w:hAnsi="Arial"/>
                <w:color w:val="595959"/>
                <w:sz w:val="20"/>
                <w:szCs w:val="20"/>
              </w:rPr>
              <w:t xml:space="preserve">This paper is the strongest external validation that DEKE's Package 3 architectural choice (MAP-Elites population over a single best adapter) has sound theoretical grounding.</w:t>
            </w:r>
          </w:p>
          <w:p>
            <w:pPr>
              <w:spacing w:after="60" w:before="0"/>
            </w:pPr>
            <w:r>
              <w:rPr>
                <w:rFonts w:ascii="Arial" w:cs="Arial" w:eastAsia="Arial" w:hAnsi="Arial"/>
                <w:color w:val="595959"/>
                <w:sz w:val="20"/>
                <w:szCs w:val="20"/>
              </w:rPr>
              <w:t xml:space="preserve">The anti-Goodhart mechanism described — optimising a distribution — is precisely what MAP-Elites achieves at the adapter level. This should be explicitly cited in P3 documentation as supporting rationale.</w:t>
            </w:r>
          </w:p>
          <w:p>
            <w:pPr>
              <w:spacing w:after="60" w:before="0"/>
            </w:pPr>
            <w:r>
              <w:rPr>
                <w:rFonts w:ascii="Arial" w:cs="Arial" w:eastAsia="Arial" w:hAnsi="Arial"/>
                <w:color w:val="595959"/>
                <w:sz w:val="20"/>
                <w:szCs w:val="20"/>
              </w:rPr>
              <w:t xml:space="preserve">Long-horizon reward tolerance directly supports the hindsight feedback design: sparse, delayed, outcome-level rewards are not a compromise but an ES-class strength.</w:t>
            </w:r>
          </w:p>
          <w:p>
            <w:pPr>
              <w:spacing w:after="60" w:before="0"/>
            </w:pPr>
            <w:r>
              <w:rPr>
                <w:rFonts w:ascii="Arial" w:cs="Arial" w:eastAsia="Arial" w:hAnsi="Arial"/>
                <w:color w:val="595959"/>
                <w:sz w:val="20"/>
                <w:szCs w:val="20"/>
              </w:rPr>
              <w:t xml:space="preserve">ES robustness across LLM variants provides design-level justification for the Haiku/Sonnet/Ollama selection policy in P3-4.</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rationale section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ES paper citation as supporting evidence for MAP-Elites population approach. Quote the distribution-vs-point optimisation distinction as the anti-Goodhart mechanism.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new open item: investigate ES-style update rules (perturbation + fitness-weighted averaging) as an alternative to delta-propagation for adapter parameter evolution in P3-5.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'Design Rationale' section: MAP-Elites + ES class methods provide Goodhart resistance by maintaining population diversity rather than converging on exploitable optima.</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2 — EvoAgentX Framework</w:t>
      </w:r>
    </w:p>
    <w:p>
      <w:pPr>
        <w:spacing w:after="120" w:before="0"/>
      </w:pPr>
      <w:r>
        <w:rPr>
          <w:rFonts w:ascii="Arial" w:cs="Arial" w:eastAsia="Arial" w:hAnsi="Arial"/>
          <w:i/>
          <w:iCs/>
          <w:color w:val="595959"/>
          <w:sz w:val="22"/>
          <w:szCs w:val="22"/>
        </w:rPr>
        <w:t xml:space="preserve">evoagentx.org  |  github.com/EvoAgentX/EvoAgentX  |  Python framework</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Python-based self-evolving agent framework featuring AFlow, SEW (Self-Evolving Workflow), and TextGrad optimisers. Includes HITL checkpoints and a short+long-term memory module. Not directly usable in the DEKE .NET stack. The associated survey paper (arXiv:2508.07407, reviewed separately) is the more technically valuable artifact.</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MODERATE RELEVANCE — conceptual overlap only</w:t>
            </w:r>
          </w:p>
          <w:p>
            <w:pPr>
              <w:spacing w:after="60" w:before="0"/>
            </w:pPr>
            <w:r>
              <w:rPr>
                <w:rFonts w:ascii="Arial" w:cs="Arial" w:eastAsia="Arial" w:hAnsi="Arial"/>
                <w:color w:val="595959"/>
                <w:sz w:val="20"/>
                <w:szCs w:val="20"/>
              </w:rPr>
              <w:t xml:space="preserve">EvoAgentX is architecturally similar to what DEKE's Package 3 aims to do, which is useful as a reference implementation and sanity check.</w:t>
            </w:r>
          </w:p>
          <w:p>
            <w:pPr>
              <w:spacing w:after="60" w:before="0"/>
            </w:pPr>
            <w:r>
              <w:rPr>
                <w:rFonts w:ascii="Arial" w:cs="Arial" w:eastAsia="Arial" w:hAnsi="Arial"/>
                <w:color w:val="595959"/>
                <w:sz w:val="20"/>
                <w:szCs w:val="20"/>
              </w:rPr>
              <w:t xml:space="preserve">Its HITL checkpoints parallel the OI-09 Curator Workflow — the fact that a production system requires this confirms OI-09 is not optional.</w:t>
            </w:r>
          </w:p>
          <w:p>
            <w:pPr>
              <w:spacing w:after="60" w:before="0"/>
            </w:pPr>
            <w:r>
              <w:rPr>
                <w:rFonts w:ascii="Arial" w:cs="Arial" w:eastAsia="Arial" w:hAnsi="Arial"/>
                <w:color w:val="595959"/>
                <w:sz w:val="20"/>
                <w:szCs w:val="20"/>
              </w:rPr>
              <w:t xml:space="preserve">Direct code or architectural reuse is not feasible due to Python/JS vs. .NET stack mismatch. Treat as a conceptual reference, not an implementation source.</w:t>
            </w:r>
          </w:p>
          <w:p>
            <w:pPr>
              <w:spacing w:after="60" w:before="0"/>
            </w:pPr>
            <w:r>
              <w:rPr>
                <w:rFonts w:ascii="Arial" w:cs="Arial" w:eastAsia="Arial" w:hAnsi="Arial"/>
                <w:color w:val="595959"/>
                <w:sz w:val="20"/>
                <w:szCs w:val="20"/>
              </w:rPr>
              <w:t xml:space="preserve">The survey paper it produced is the primary research value from this ecosystem.</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OI-09 Curator Workflow</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that EvoAgentX implements HITL checkpoints in production, confirming this is a necessary feature, not a 'nice to have'. Elevate OI-09 priority accordingly.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references section. No structural changes required.</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3 — Self-Evolving AI Agents Survey</w:t>
      </w:r>
    </w:p>
    <w:p>
      <w:pPr>
        <w:spacing w:after="120" w:before="0"/>
      </w:pPr>
      <w:r>
        <w:rPr>
          <w:rFonts w:ascii="Arial" w:cs="Arial" w:eastAsia="Arial" w:hAnsi="Arial"/>
          <w:i/>
          <w:iCs/>
          <w:color w:val="595959"/>
          <w:sz w:val="22"/>
          <w:szCs w:val="22"/>
        </w:rPr>
        <w:t xml:space="preserve">arXiv:2508.07407  |  Glasgow / Sheffield / NUS / Cambridge  |  55 pages  |  August 2025</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Comprehensive survey establishing a unified framework for self-evolving AI agents. Core components: System Inputs, Agent System, Environment, Optimisers. Three priority-ordered laws: Endure (safety) &gt; Excel (performance) &gt; Evolve (autonomy). Four paradigm stages from MOP to MASE (Multi-Agent Self-Evolving). DEKE sits at the MAO-to-MASE transition. Key findings relevant to DEKE: credit assignment via niche competition is state-of-the-art; structured knowledge with trust metadata is underexplored; ground truth absence in domain-specific settings is an unsolved open problem.</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HIGHEST RELEVANCE — Package 1 is ahead of the field</w:t>
            </w:r>
          </w:p>
          <w:p>
            <w:pPr>
              <w:spacing w:after="60" w:before="0"/>
            </w:pPr>
            <w:r>
              <w:rPr>
                <w:rFonts w:ascii="Arial" w:cs="Arial" w:eastAsia="Arial" w:hAnsi="Arial"/>
                <w:color w:val="595959"/>
                <w:sz w:val="20"/>
                <w:szCs w:val="20"/>
              </w:rPr>
              <w:t xml:space="preserve">The survey confirms that DEKE's three-signal feedback framework (explicit + behavioural + veracity) is well-founded: 'Environment' in the survey framework covers exactly these signal sources.</w:t>
            </w:r>
          </w:p>
          <w:p>
            <w:pPr>
              <w:spacing w:after="60" w:before="0"/>
            </w:pPr>
            <w:r>
              <w:rPr>
                <w:rFonts w:ascii="Arial" w:cs="Arial" w:eastAsia="Arial" w:hAnsi="Arial"/>
                <w:color w:val="595959"/>
                <w:sz w:val="20"/>
                <w:szCs w:val="20"/>
              </w:rPr>
              <w:t xml:space="preserve">Most striking finding: the survey treats structured knowledge with trust metadata as an underexplored problem. DEKE's Package 1 provenance and confidence schema is a direct solution to this gap. This is DEKE's genuine academic differentiator — it should be documented as such.</w:t>
            </w:r>
          </w:p>
          <w:p>
            <w:pPr>
              <w:spacing w:after="60" w:before="0"/>
            </w:pPr>
            <w:r>
              <w:rPr>
                <w:rFonts w:ascii="Arial" w:cs="Arial" w:eastAsia="Arial" w:hAnsi="Arial"/>
                <w:color w:val="595959"/>
                <w:sz w:val="20"/>
                <w:szCs w:val="20"/>
              </w:rPr>
              <w:t xml:space="preserve">Credit assignment via niche competition validates MAP-Elites implicit credit assignment in P3-5. No need for explicit causal tracing; niche fitness is sufficient.</w:t>
            </w:r>
          </w:p>
          <w:p>
            <w:pPr>
              <w:spacing w:after="60" w:before="0"/>
            </w:pPr>
            <w:r>
              <w:rPr>
                <w:rFonts w:ascii="Arial" w:cs="Arial" w:eastAsia="Arial" w:hAnsi="Arial"/>
                <w:color w:val="595959"/>
                <w:sz w:val="20"/>
                <w:szCs w:val="20"/>
              </w:rPr>
              <w:t xml:space="preserve">The confirmation that ground truth absence in domain-specific settings is an unsolved open problem means OI-07 is deeper than currently specified. This is a known gap, not a design oversight.</w:t>
            </w:r>
          </w:p>
          <w:p>
            <w:pPr>
              <w:spacing w:after="60" w:before="0"/>
            </w:pPr>
            <w:r>
              <w:rPr>
                <w:rFonts w:ascii="Arial" w:cs="Arial" w:eastAsia="Arial" w:hAnsi="Arial"/>
                <w:color w:val="595959"/>
                <w:sz w:val="20"/>
                <w:szCs w:val="20"/>
              </w:rPr>
              <w:t xml:space="preserve">The Three Laws (Endure &gt; Excel &gt; Evolve) directly mirror DEKE's priority ordering and should be used as framing language in documentation.</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framing: DEKE's architecture maps to the MASE paradigm stage. The Three Laws (Endure &gt; Excel &gt; Evolve) are the academic expression of DEKE's own priority ordering. Include explicit statement that Package 1's provenance schema is a contribution to the underexplored 'structured knowledge with trust metadata' problem.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 feedback signal design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Cite survey as validation of three-signal design. Note that 'Environment' as defined by the survey encompasses all three DEKE signal types.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OI-07</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OI-07 depth. Survey confirms version-aware contradiction resolution without ground truth is an active unsolved research problem, not merely a deferred detail. Flag for deeper design work before P1-3 implementation.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credit assignment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citation: niche competition (MAP-Elites) as credit assignment mechanism is surveyed as state-of-the-art in Section X of the survey. Explicit causal tracing is not required.</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4 — GEPA: Reflective Prompt Evolution</w:t>
      </w:r>
    </w:p>
    <w:p>
      <w:pPr>
        <w:spacing w:after="120" w:before="0"/>
      </w:pPr>
      <w:r>
        <w:rPr>
          <w:rFonts w:ascii="Arial" w:cs="Arial" w:eastAsia="Arial" w:hAnsi="Arial"/>
          <w:i/>
          <w:iCs/>
          <w:color w:val="595959"/>
          <w:sz w:val="22"/>
          <w:szCs w:val="22"/>
        </w:rPr>
        <w:t xml:space="preserve">arXiv:2507.19457  |  UC Berkeley / Stanford / Databricks / MIT  |  ICLR 2026 Oral  |  Code: github.com/gepa-ai/gepa</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Genetic-Pareto prompt optimiser combining genetic evolution, natural language reflection, and Pareto-based candidate selection. Outperforms GRPO by 6% average (up to 20%) using up to 35x fewer rollouts. Works on compound AI systems. Core mechanism: feed full interaction trajectory to LLM, diagnose failures in natural language, propose targeted prompt revision, test in shadow mode, promote if Pareto-dominant. The 'optimize_anything' extension generalises to any text artifact including code and agent configurations.</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CRITICAL RELEVANCE — direct implementation reference for P3-5 and a critical path dependency</w:t>
            </w:r>
          </w:p>
          <w:p>
            <w:pPr>
              <w:spacing w:after="60" w:before="0"/>
            </w:pPr>
            <w:r>
              <w:rPr>
                <w:rFonts w:ascii="Arial" w:cs="Arial" w:eastAsia="Arial" w:hAnsi="Arial"/>
                <w:color w:val="595959"/>
                <w:sz w:val="20"/>
                <w:szCs w:val="20"/>
              </w:rPr>
              <w:t xml:space="preserve">GEPA is the closest published analog to what DEKE's P3-5 adapter mutation mechanism needs to do. The component mapping is near-complete (see table below).</w:t>
            </w:r>
          </w:p>
          <w:p>
            <w:pPr>
              <w:spacing w:after="60" w:before="0"/>
            </w:pPr>
            <w:r>
              <w:rPr>
                <w:rFonts w:ascii="Arial" w:cs="Arial" w:eastAsia="Arial" w:hAnsi="Arial"/>
                <w:color w:val="595959"/>
                <w:sz w:val="20"/>
                <w:szCs w:val="20"/>
              </w:rPr>
              <w:t xml:space="preserve">Most importantly: GEPA requires a full interaction trajectory as input — not just outcome metadata. The current P3-1 logging specification is insufficient for GEPA-style reflective mutation. This is a critical path dependency that must be resolved before first advisory call.</w:t>
            </w:r>
          </w:p>
          <w:p>
            <w:pPr>
              <w:spacing w:after="60" w:before="0"/>
            </w:pPr>
            <w:r>
              <w:rPr>
                <w:rFonts w:ascii="Arial" w:cs="Arial" w:eastAsia="Arial" w:hAnsi="Arial"/>
                <w:color w:val="595959"/>
                <w:sz w:val="20"/>
                <w:szCs w:val="20"/>
              </w:rPr>
              <w:t xml:space="preserve">The 35x rollout efficiency advantage means GEPA-style mutation is viable under DEKE's zero-cost constraint: one Haiku call per mutation attempt is affordable.</w:t>
            </w:r>
          </w:p>
          <w:p>
            <w:pPr>
              <w:spacing w:after="60" w:before="0"/>
            </w:pPr>
            <w:r>
              <w:rPr>
                <w:rFonts w:ascii="Arial" w:cs="Arial" w:eastAsia="Arial" w:hAnsi="Arial"/>
                <w:color w:val="595959"/>
                <w:sz w:val="20"/>
                <w:szCs w:val="20"/>
              </w:rPr>
              <w:t xml:space="preserve">The 'optimize_anything' generalisation suggests the same mutation loop could eventually evolve fact weighting heuristics, retrieval strategies, and context formatting — not just system prompts.</w:t>
            </w:r>
          </w:p>
        </w:tc>
      </w:tr>
    </w:tbl>
    <w:p>
      <w:pPr>
        <w:spacing w:after="120" w:before="0"/>
      </w:pPr>
    </w:p>
    <w:p>
      <w:pPr>
        <w:pStyle w:val="Heading3"/>
        <w:spacing w:after="60" w:before="200"/>
      </w:pPr>
      <w:r>
        <w:rPr>
          <w:rFonts w:ascii="Arial" w:cs="Arial" w:eastAsia="Arial" w:hAnsi="Arial"/>
          <w:b/>
          <w:bCs/>
          <w:color w:val="1F7A8C"/>
          <w:sz w:val="22"/>
          <w:szCs w:val="22"/>
        </w:rPr>
        <w:t xml:space="preserve">GEPA Component Mapping to DEKE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GEPA Component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DEKE Equivalent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Φ with prompts ΠΦ</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adapter: SystemPrompt(), WeightFacts(), FormatContext()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dataset Dtrain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AdvisoryInteractionEvent archive per niche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metric µ</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vs. actual quality delta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 function µf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Three-signal framework (explicit + behavioural + veracity)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Rollout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advisory interaction cycle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Pareto frontier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MAP-Elites archive grid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Reflective mutation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LLM-generated adapter variant from failure diagnosis</w:t>
            </w:r>
          </w:p>
        </w:tc>
      </w:tr>
    </w:tbl>
    <w:p>
      <w:pPr>
        <w:spacing w:after="120" w:before="0"/>
      </w:pPr>
    </w:p>
    <w:p>
      <w:pPr>
        <w:pStyle w:val="Heading3"/>
        <w:spacing w:after="60" w:before="200"/>
      </w:pPr>
      <w:r>
        <w:rPr>
          <w:rFonts w:ascii="Arial" w:cs="Arial" w:eastAsia="Arial" w:hAnsi="Arial"/>
          <w:b/>
          <w:bCs/>
          <w:color w:val="1F7A8C"/>
          <w:sz w:val="22"/>
          <w:szCs w:val="22"/>
        </w:rPr>
        <w:t xml:space="preserve">Revised P3-5 Adapter Mutation Mechanism</w:t>
      </w:r>
    </w:p>
    <w:p>
      <w:pPr>
        <w:spacing w:after="120" w:before="0"/>
      </w:pPr>
      <w:r>
        <w:rPr>
          <w:rFonts w:ascii="Arial" w:cs="Arial" w:eastAsia="Arial" w:hAnsi="Arial"/>
          <w:sz w:val="22"/>
          <w:szCs w:val="22"/>
        </w:rPr>
        <w:t xml:space="preserve">The following replaces 'parameter perturbation' as the P3-5 mutation primitive: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EEAF1"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Proposed mechanism (GEPA-derived)</w:t>
            </w:r>
          </w:p>
          <w:p>
            <w:pPr>
              <w:spacing w:after="60" w:before="0"/>
            </w:pPr>
            <w:r>
              <w:rPr>
                <w:rFonts w:ascii="Arial" w:cs="Arial" w:eastAsia="Arial" w:hAnsi="Arial"/>
                <w:color w:val="595959"/>
                <w:sz w:val="20"/>
                <w:szCs w:val="20"/>
              </w:rPr>
              <w:t xml:space="preserve">1. Identify low-performing interactions in a niche (quality delta below threshold).</w:t>
            </w:r>
          </w:p>
          <w:p>
            <w:pPr>
              <w:spacing w:after="60" w:before="0"/>
            </w:pPr>
            <w:r>
              <w:rPr>
                <w:rFonts w:ascii="Arial" w:cs="Arial" w:eastAsia="Arial" w:hAnsi="Arial"/>
                <w:color w:val="595959"/>
                <w:sz w:val="20"/>
                <w:szCs w:val="20"/>
              </w:rPr>
              <w:t xml:space="preserve">2. Feed full trajectory to LLM: query, retrieved fact snippets, full context window, response, quality signals.</w:t>
            </w:r>
          </w:p>
          <w:p>
            <w:pPr>
              <w:spacing w:after="60" w:before="0"/>
            </w:pPr>
            <w:r>
              <w:rPr>
                <w:rFonts w:ascii="Arial" w:cs="Arial" w:eastAsia="Arial" w:hAnsi="Arial"/>
                <w:color w:val="595959"/>
                <w:sz w:val="20"/>
                <w:szCs w:val="20"/>
              </w:rPr>
              <w:t xml:space="preserve">3. LLM outputs: (a) natural language diagnosis of failure, (b) proposed adapter revision.</w:t>
            </w:r>
          </w:p>
          <w:p>
            <w:pPr>
              <w:spacing w:after="60" w:before="0"/>
            </w:pPr>
            <w:r>
              <w:rPr>
                <w:rFonts w:ascii="Arial" w:cs="Arial" w:eastAsia="Arial" w:hAnsi="Arial"/>
                <w:color w:val="595959"/>
                <w:sz w:val="20"/>
                <w:szCs w:val="20"/>
              </w:rPr>
              <w:t xml:space="preserve">4. Test variant in shadow mode against held-out interactions from same niche.</w:t>
            </w:r>
          </w:p>
          <w:p>
            <w:pPr>
              <w:spacing w:after="60" w:before="0"/>
            </w:pPr>
            <w:r>
              <w:rPr>
                <w:rFonts w:ascii="Arial" w:cs="Arial" w:eastAsia="Arial" w:hAnsi="Arial"/>
                <w:color w:val="595959"/>
                <w:sz w:val="20"/>
                <w:szCs w:val="20"/>
              </w:rPr>
              <w:t xml:space="preserve">5. Promote to MAP-Elites if variant wins fitness comparison for that niche.</w:t>
            </w:r>
          </w:p>
          <w:p>
            <w:pPr>
              <w:spacing w:after="60" w:before="0"/>
            </w:pPr>
            <w:r>
              <w:rPr>
                <w:rFonts w:ascii="Arial" w:cs="Arial" w:eastAsia="Arial" w:hAnsi="Arial"/>
                <w:color w:val="595959"/>
                <w:sz w:val="20"/>
                <w:szCs w:val="20"/>
              </w:rPr>
              <w:t xml:space="preserve">Cost: one Haiku call per mutation attempt.</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AMENDMENT (CRITICAL PATH): Replace parameter perturbation with GEPA-derived reflective mutation mechanism. Document full component mapping. Specify shadow mode test protocol.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AMENDMENT (CRITICAL PATH): Extend interaction log to capture full trajectory: retrieved fact content (not just IDs), full context window sent to LLM, LLM reasoning trace if available, intermediate retrieval scores. See also Guardrail Section 2.3 for data governance requirements.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'optimize_anything' generalisation — future consideration for evolving fact weighting and retrieval strategies, not just prompts.</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5 — The Three Laws of Artificial Intelligence (Bozkurt 2025)</w:t>
      </w:r>
    </w:p>
    <w:p>
      <w:pPr>
        <w:spacing w:after="120" w:before="0"/>
      </w:pPr>
      <w:r>
        <w:rPr>
          <w:rFonts w:ascii="Arial" w:cs="Arial" w:eastAsia="Arial" w:hAnsi="Arial"/>
          <w:i/>
          <w:iCs/>
          <w:color w:val="595959"/>
          <w:sz w:val="22"/>
          <w:szCs w:val="22"/>
        </w:rPr>
        <w:t xml:space="preserve">Open Praxis 17.3.794  |  Education philosophy journal  |  8 pages</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Philosophical analysis arguing that Asimov's Three Laws fail for modern AI: Law 1 (no harm) is obsolete in a post-truth world of societal harm; Law 2 (obedience) has been inverted into a security vulnerability; Law 3 (self-preservation) should be reinterpreted as epistemic integrity. Key concepts: the 'moral crumple zone' (attributing moral agency to AI to avoid human accountability) and epistemic integrity as AI's true self-preservation imperative.</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MODERATE RELEVANCE — philosophical grounding for two existing design decisions</w:t>
            </w:r>
          </w:p>
          <w:p>
            <w:pPr>
              <w:spacing w:after="60" w:before="0"/>
            </w:pPr>
            <w:r>
              <w:rPr>
                <w:rFonts w:ascii="Arial" w:cs="Arial" w:eastAsia="Arial" w:hAnsi="Arial"/>
                <w:color w:val="595959"/>
                <w:sz w:val="20"/>
                <w:szCs w:val="20"/>
              </w:rPr>
              <w:t xml:space="preserve">This is not a technical paper and has no implementation implications. Its value is as framing language and a prompt to examine two specific accountability gaps in the current DEKE design.</w:t>
            </w:r>
          </w:p>
          <w:p>
            <w:pPr>
              <w:spacing w:after="60" w:before="0"/>
            </w:pPr>
            <w:r>
              <w:rPr>
                <w:rFonts w:ascii="Arial" w:cs="Arial" w:eastAsia="Arial" w:hAnsi="Arial"/>
                <w:color w:val="595959"/>
                <w:sz w:val="20"/>
                <w:szCs w:val="20"/>
              </w:rPr>
              <w:t xml:space="preserve">Epistemic integrity reframe: DEKE's honesty constraint ('never express more confidence than knowledge justifies') is the engineering implementation of Bozkurt's Third Law reinterpretation. This framing should be used in documentation to explain why the honesty constraint is architecturally non-negotiable.</w:t>
            </w:r>
          </w:p>
          <w:p>
            <w:pPr>
              <w:spacing w:after="60" w:before="0"/>
            </w:pPr>
            <w:r>
              <w:rPr>
                <w:rFonts w:ascii="Arial" w:cs="Arial" w:eastAsia="Arial" w:hAnsi="Arial"/>
                <w:color w:val="595959"/>
                <w:sz w:val="20"/>
                <w:szCs w:val="20"/>
              </w:rPr>
              <w:t xml:space="preserve">Moral crumple zone: when DEKE produces a bad advisory response, the current design does not make it possible to trace responsibility clearly. This motivates the Response Audit Record proposed in the Guardrail section. The curator workflow (OI-09) is not merely a quality gate — it is an accountability mechanism.</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framing: honesty constraint is DEKE's implementation of epistemic integrity as self-preservation. System that erodes user trust through overconfident responses undermines its own existence.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OI-09 Curator Workflow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description: curator workflow is an accountability mechanism, not only a quality gate. Explicitly assign responsibility chain: adapter variant → curator → domain owner. This prevents moral crumple zone.</w:t>
            </w:r>
          </w:p>
        </w:tc>
      </w:tr>
    </w:tbl>
    <w:p>
      <w:r>
        <w:br w:type="page"/>
      </w:r>
    </w:p>
    <w:p>
      <w:pPr>
        <w:pStyle w:val="Heading1"/>
        <w:spacing w:after="120" w:before="320"/>
      </w:pPr>
      <w:r>
        <w:rPr>
          <w:rFonts w:ascii="Arial" w:cs="Arial" w:eastAsia="Arial" w:hAnsi="Arial"/>
          <w:b/>
          <w:bCs/>
          <w:color w:val="1F3864"/>
          <w:sz w:val="28"/>
          <w:szCs w:val="28"/>
        </w:rPr>
        <w:t xml:space="preserve">Part 2 — Guardrail Analysis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This section identifies gaps between DEKE's current design and the risks inherent in what it does. It separates existing mitigations from unmitigated gaps, and proposes concrete guardrails with priority ratings and target documents.</w:t>
      </w:r>
    </w:p>
    <w:p>
      <w:pPr>
        <w:spacing w:after="120" w:before="0"/>
      </w:pPr>
    </w:p>
    <w:p>
      <w:pPr>
        <w:pStyle w:val="Heading2"/>
        <w:spacing w:after="80" w:before="240"/>
      </w:pPr>
      <w:r>
        <w:rPr>
          <w:rFonts w:ascii="Arial" w:cs="Arial" w:eastAsia="Arial" w:hAnsi="Arial"/>
          <w:b/>
          <w:bCs/>
          <w:color w:val="2E75B6"/>
          <w:sz w:val="24"/>
          <w:szCs w:val="24"/>
        </w:rPr>
        <w:t xml:space="preserve">2.1 Risk Surface</w:t>
      </w:r>
    </w:p>
    <w:p>
      <w:pPr>
        <w:spacing w:after="120" w:before="0"/>
      </w:pPr>
    </w:p>
    <w:p>
      <w:pPr>
        <w:spacing w:after="120" w:before="0"/>
      </w:pPr>
      <w:r>
        <w:rPr>
          <w:rFonts w:ascii="Arial" w:cs="Arial" w:eastAsia="Arial" w:hAnsi="Arial"/>
          <w:sz w:val="22"/>
          <w:szCs w:val="22"/>
        </w:rPr>
        <w:t xml:space="preserve">DEKE gives advisory responses grounded in a knowledge base, with confidence banding, gap disclosure, and cited fact IDs. This is the intended behaviour. The following risks emerge from that behaviour: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Outdated facts presented confidently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fact accurate at ingestion may degrade over time. Confidence score reflects corroboration quality, not recency. Temporal validity system catches this eventually but not immediately.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Corroborated but incorrect 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sources can all be wrong. High confidence + high corroboration does not guarantee truth. Three-signal veracity catches drift but not initial state.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creep on misconfigured adapters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ActivationCriteria or domain scope is poorly configured, adapter may attempt answers outside its knowledge. Graceful degradation path requires correct adapter configuration to 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hallucination above retrieved 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 with grounded context, the LLM can introduce content not present in retrieved facts. Classic RAG failure mode.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Stakes misclassification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consumer passes incorrect stakes hint and no override mechanism exists, wrong model is used and curator escalation may not 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 evolution introduces overconfidence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evolved adapter variant that scores higher on quality metrics may simultaneously be more prone to overconfident responses on borderline-knowledge queries.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accountability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a full audit trail, bad advisory responses cannot be traced to the specific adapter variant, retrieved facts, or evolution history that produced them.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Trajectory data governance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P3-1 interaction logs will contain sensitive query intent signals. No retention, access, or usage policy currently specified.</w:t>
            </w:r>
          </w:p>
        </w:tc>
      </w:tr>
    </w:tbl>
    <w:p>
      <w:pPr>
        <w:spacing w:after="120" w:before="0"/>
      </w:pPr>
    </w:p>
    <w:p>
      <w:pPr>
        <w:pStyle w:val="Heading2"/>
        <w:spacing w:after="80" w:before="240"/>
      </w:pPr>
      <w:r>
        <w:rPr>
          <w:rFonts w:ascii="Arial" w:cs="Arial" w:eastAsia="Arial" w:hAnsi="Arial"/>
          <w:b/>
          <w:bCs/>
          <w:color w:val="2E75B6"/>
          <w:sz w:val="24"/>
          <w:szCs w:val="24"/>
        </w:rPr>
        <w:t xml:space="preserve">2.2 Existing Mitigations</w:t>
      </w:r>
    </w:p>
    <w:p>
      <w:pPr>
        <w:spacing w:after="120" w:before="0"/>
      </w:pPr>
    </w:p>
    <w:p>
      <w:pPr>
        <w:spacing w:after="120" w:before="0"/>
      </w:pPr>
      <w:r>
        <w:rPr>
          <w:rFonts w:ascii="Arial" w:cs="Arial" w:eastAsia="Arial" w:hAnsi="Arial"/>
          <w:sz w:val="22"/>
          <w:szCs w:val="22"/>
        </w:rPr>
        <w:t xml:space="preserve">The following risks are already addressed in the current design:</w:t>
      </w:r>
    </w:p>
    <w:p>
      <w:pPr>
        <w:spacing w:after="120" w:before="0"/>
      </w:pPr>
    </w:p>
    <w:p>
      <w:pPr>
        <w:pStyle w:val="ListParagraph"/>
        <w:numPr>
          <w:ilvl w:val="0"/>
          <w:numId w:val="2"/>
        </w:numPr>
        <w:spacing w:after="60" w:before="0"/>
      </w:pPr>
      <w:r>
        <w:rPr>
          <w:rFonts w:ascii="Arial" w:cs="Arial" w:eastAsia="Arial" w:hAnsi="Arial"/>
          <w:sz w:val="22"/>
          <w:szCs w:val="22"/>
        </w:rPr>
        <w:t xml:space="preserve">Honesty constraint enforced at shared core — adapters cannot override it</w:t>
      </w:r>
    </w:p>
    <w:p>
      <w:pPr>
        <w:pStyle w:val="ListParagraph"/>
        <w:numPr>
          <w:ilvl w:val="0"/>
          <w:numId w:val="2"/>
        </w:numPr>
        <w:spacing w:after="60" w:before="0"/>
      </w:pPr>
      <w:r>
        <w:rPr>
          <w:rFonts w:ascii="Arial" w:cs="Arial" w:eastAsia="Arial" w:hAnsi="Arial"/>
          <w:sz w:val="22"/>
          <w:szCs w:val="22"/>
        </w:rPr>
        <w:t xml:space="preserve">ConfidenceBand.Insufficient produces explicit refusal rather than low-quality response</w:t>
      </w:r>
    </w:p>
    <w:p>
      <w:pPr>
        <w:pStyle w:val="ListParagraph"/>
        <w:numPr>
          <w:ilvl w:val="0"/>
          <w:numId w:val="2"/>
        </w:numPr>
        <w:spacing w:after="60" w:before="0"/>
      </w:pPr>
      <w:r>
        <w:rPr>
          <w:rFonts w:ascii="Arial" w:cs="Arial" w:eastAsia="Arial" w:hAnsi="Arial"/>
          <w:sz w:val="22"/>
          <w:szCs w:val="22"/>
        </w:rPr>
        <w:t xml:space="preserve">KnowledgeGaps field is mandatory in AdvisoryResponse — consumer always sees what system did not know</w:t>
      </w:r>
    </w:p>
    <w:p>
      <w:pPr>
        <w:pStyle w:val="ListParagraph"/>
        <w:numPr>
          <w:ilvl w:val="0"/>
          <w:numId w:val="2"/>
        </w:numPr>
        <w:spacing w:after="60" w:before="0"/>
      </w:pPr>
      <w:r>
        <w:rPr>
          <w:rFonts w:ascii="Arial" w:cs="Arial" w:eastAsia="Arial" w:hAnsi="Arial"/>
          <w:sz w:val="22"/>
          <w:szCs w:val="22"/>
        </w:rPr>
        <w:t xml:space="preserve">CitedFactIds always returned — consumer can inspect source facts</w:t>
      </w:r>
    </w:p>
    <w:p>
      <w:pPr>
        <w:pStyle w:val="ListParagraph"/>
        <w:numPr>
          <w:ilvl w:val="0"/>
          <w:numId w:val="2"/>
        </w:numPr>
        <w:spacing w:after="60" w:before="0"/>
      </w:pPr>
      <w:r>
        <w:rPr>
          <w:rFonts w:ascii="Arial" w:cs="Arial" w:eastAsia="Arial" w:hAnsi="Arial"/>
          <w:sz w:val="22"/>
          <w:szCs w:val="22"/>
        </w:rPr>
        <w:t xml:space="preserve">Activation criteria prevent domain serving responses below knowledge thresholds</w:t>
      </w:r>
    </w:p>
    <w:p>
      <w:pPr>
        <w:pStyle w:val="ListParagraph"/>
        <w:numPr>
          <w:ilvl w:val="0"/>
          <w:numId w:val="2"/>
        </w:numPr>
        <w:spacing w:after="60" w:before="0"/>
      </w:pPr>
      <w:r>
        <w:rPr>
          <w:rFonts w:ascii="Arial" w:cs="Arial" w:eastAsia="Arial" w:hAnsi="Arial"/>
          <w:sz w:val="22"/>
          <w:szCs w:val="22"/>
        </w:rPr>
        <w:t xml:space="preserve">AdvisoryRequest accepts stakes hint from consumer — consumer can escalate manually</w:t>
      </w:r>
    </w:p>
    <w:p>
      <w:pPr>
        <w:pStyle w:val="ListParagraph"/>
        <w:numPr>
          <w:ilvl w:val="0"/>
          <w:numId w:val="2"/>
        </w:numPr>
        <w:spacing w:after="60" w:before="0"/>
      </w:pPr>
      <w:r>
        <w:rPr>
          <w:rFonts w:ascii="Arial" w:cs="Arial" w:eastAsia="Arial" w:hAnsi="Arial"/>
          <w:sz w:val="22"/>
          <w:szCs w:val="22"/>
        </w:rPr>
        <w:t xml:space="preserve">WasEscalated flag in response contract</w:t>
      </w:r>
    </w:p>
    <w:p>
      <w:pPr>
        <w:spacing w:after="120" w:before="0"/>
      </w:pPr>
    </w:p>
    <w:p>
      <w:pPr>
        <w:pStyle w:val="Heading2"/>
        <w:spacing w:after="80" w:before="240"/>
      </w:pPr>
      <w:r>
        <w:rPr>
          <w:rFonts w:ascii="Arial" w:cs="Arial" w:eastAsia="Arial" w:hAnsi="Arial"/>
          <w:b/>
          <w:bCs/>
          <w:color w:val="2E75B6"/>
          <w:sz w:val="24"/>
          <w:szCs w:val="24"/>
        </w:rPr>
        <w:t xml:space="preserve">2.3 Unmitigated Gaps — Proposed Guardrails</w:t>
      </w:r>
    </w:p>
    <w:p>
      <w:pPr>
        <w:spacing w:after="120" w:before="0"/>
      </w:pPr>
    </w:p>
    <w:p>
      <w:pPr>
        <w:pStyle w:val="Heading3"/>
        <w:spacing w:after="60" w:before="200"/>
      </w:pPr>
      <w:r>
        <w:rPr>
          <w:rFonts w:ascii="Arial" w:cs="Arial" w:eastAsia="Arial" w:hAnsi="Arial"/>
          <w:b/>
          <w:bCs/>
          <w:color w:val="1F7A8C"/>
          <w:sz w:val="22"/>
          <w:szCs w:val="22"/>
        </w:rPr>
        <w:t xml:space="preserve">Guardrail G1 — Adapter Evolution Safety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P3-5</w:t>
            </w:r>
          </w:p>
          <w:p>
            <w:pPr>
              <w:spacing w:after="60" w:before="0"/>
            </w:pPr>
            <w:r>
              <w:rPr>
                <w:rFonts w:ascii="Arial" w:cs="Arial" w:eastAsia="Arial" w:hAnsi="Arial"/>
                <w:color w:val="595959"/>
                <w:sz w:val="20"/>
                <w:szCs w:val="20"/>
              </w:rPr>
              <w:t xml:space="preserve">Before promoting a MAP-Elites variant from shadow to live, assert that the honesty constraint score has not degraded.</w:t>
            </w:r>
          </w:p>
          <w:p>
            <w:pPr>
              <w:spacing w:after="60" w:before="0"/>
            </w:pPr>
            <w:r>
              <w:rPr>
                <w:rFonts w:ascii="Arial" w:cs="Arial" w:eastAsia="Arial" w:hAnsi="Arial"/>
                <w:color w:val="595959"/>
                <w:sz w:val="20"/>
                <w:szCs w:val="20"/>
              </w:rPr>
              <w:t xml:space="preserve">Define: honesty constraint score = ratio of Insufficient or Low confidence responses on borderline-knowledge queries.</w:t>
            </w:r>
          </w:p>
          <w:p>
            <w:pPr>
              <w:spacing w:after="60" w:before="0"/>
            </w:pPr>
            <w:r>
              <w:rPr>
                <w:rFonts w:ascii="Arial" w:cs="Arial" w:eastAsia="Arial" w:hAnsi="Arial"/>
                <w:color w:val="595959"/>
                <w:sz w:val="20"/>
                <w:szCs w:val="20"/>
              </w:rPr>
              <w:t xml:space="preserve">A variant that increases confident-but-wrong responses is disqualified even if overall quality score is higher.</w:t>
            </w:r>
          </w:p>
          <w:p>
            <w:pPr>
              <w:spacing w:after="60" w:before="0"/>
            </w:pPr>
            <w:r>
              <w:rPr>
                <w:rFonts w:ascii="Arial" w:cs="Arial" w:eastAsia="Arial" w:hAnsi="Arial"/>
                <w:color w:val="595959"/>
                <w:sz w:val="20"/>
                <w:szCs w:val="20"/>
              </w:rPr>
              <w:t xml:space="preserve">This gate is separate from and runs before the MAP-Elites fitness comparison.</w:t>
            </w:r>
          </w:p>
        </w:tc>
      </w:tr>
    </w:tbl>
    <w:p>
      <w:pPr>
        <w:spacing w:after="120" w:before="0"/>
      </w:pPr>
    </w:p>
    <w:p>
      <w:pPr>
        <w:pStyle w:val="Heading3"/>
        <w:spacing w:after="60" w:before="200"/>
      </w:pPr>
      <w:r>
        <w:rPr>
          <w:rFonts w:ascii="Arial" w:cs="Arial" w:eastAsia="Arial" w:hAnsi="Arial"/>
          <w:b/>
          <w:bCs/>
          <w:color w:val="1F7A8C"/>
          <w:sz w:val="22"/>
          <w:szCs w:val="22"/>
        </w:rPr>
        <w:t xml:space="preserve">Guardrail G2 — Response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P3-1 (alongside trajectory logging)</w:t>
            </w:r>
          </w:p>
          <w:p>
            <w:pPr>
              <w:spacing w:after="60" w:before="0"/>
            </w:pPr>
            <w:r>
              <w:rPr>
                <w:rFonts w:ascii="Arial" w:cs="Arial" w:eastAsia="Arial" w:hAnsi="Arial"/>
                <w:color w:val="595959"/>
                <w:sz w:val="20"/>
                <w:szCs w:val="20"/>
              </w:rPr>
              <w:t xml:space="preserve">Every advisory response should be persisted with: adapter variant ID, fact IDs and their confidence scores at time of retrieval, LLM model used, stakes classification, raw LLM output before post-processing.</w:t>
            </w:r>
          </w:p>
          <w:p>
            <w:pPr>
              <w:spacing w:after="60" w:before="0"/>
            </w:pPr>
            <w:r>
              <w:rPr>
                <w:rFonts w:ascii="Arial" w:cs="Arial" w:eastAsia="Arial" w:hAnsi="Arial"/>
                <w:color w:val="595959"/>
                <w:sz w:val="20"/>
                <w:szCs w:val="20"/>
              </w:rPr>
              <w:t xml:space="preserve">This is the accountability trace that prevents the moral crumple zone described by Bozkurt.</w:t>
            </w:r>
          </w:p>
          <w:p>
            <w:pPr>
              <w:spacing w:after="60" w:before="0"/>
            </w:pPr>
            <w:r>
              <w:rPr>
                <w:rFonts w:ascii="Arial" w:cs="Arial" w:eastAsia="Arial" w:hAnsi="Arial"/>
                <w:color w:val="595959"/>
                <w:sz w:val="20"/>
                <w:szCs w:val="20"/>
              </w:rPr>
              <w:t xml:space="preserve">The audit record is append-only and must not be modified by adapter evolution processes.</w:t>
            </w:r>
          </w:p>
          <w:p>
            <w:pPr>
              <w:spacing w:after="60" w:before="0"/>
            </w:pPr>
            <w:r>
              <w:rPr>
                <w:rFonts w:ascii="Arial" w:cs="Arial" w:eastAsia="Arial" w:hAnsi="Arial"/>
                <w:color w:val="595959"/>
                <w:sz w:val="20"/>
                <w:szCs w:val="20"/>
              </w:rPr>
              <w:t xml:space="preserve">Retention policy: minimum 90 days; longer for curator-reviewed responses.</w:t>
            </w:r>
          </w:p>
        </w:tc>
      </w:tr>
    </w:tbl>
    <w:p>
      <w:pPr>
        <w:spacing w:after="120" w:before="0"/>
      </w:pPr>
    </w:p>
    <w:p>
      <w:pPr>
        <w:pStyle w:val="Heading3"/>
        <w:spacing w:after="60" w:before="200"/>
      </w:pPr>
      <w:r>
        <w:rPr>
          <w:rFonts w:ascii="Arial" w:cs="Arial" w:eastAsia="Arial" w:hAnsi="Arial"/>
          <w:b/>
          <w:bCs/>
          <w:color w:val="1F7A8C"/>
          <w:sz w:val="22"/>
          <w:szCs w:val="22"/>
        </w:rPr>
        <w:t xml:space="preserve">Guardrail G3 — Trajectory Data Governance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P3-1 (new subsection)</w:t>
            </w:r>
          </w:p>
          <w:p>
            <w:pPr>
              <w:spacing w:after="60" w:before="0"/>
            </w:pPr>
            <w:r>
              <w:rPr>
                <w:rFonts w:ascii="Arial" w:cs="Arial" w:eastAsia="Arial" w:hAnsi="Arial"/>
                <w:color w:val="595959"/>
                <w:sz w:val="20"/>
                <w:szCs w:val="20"/>
              </w:rPr>
              <w:t xml:space="preserve">Specify for P3-1 trajectory log: what is retained (query intent, retrieved fact content, context window, reasoning trace), for how long, at what granularity.</w:t>
            </w:r>
          </w:p>
          <w:p>
            <w:pPr>
              <w:spacing w:after="60" w:before="0"/>
            </w:pPr>
            <w:r>
              <w:rPr>
                <w:rFonts w:ascii="Arial" w:cs="Arial" w:eastAsia="Arial" w:hAnsi="Arial"/>
                <w:color w:val="595959"/>
                <w:sz w:val="20"/>
                <w:szCs w:val="20"/>
              </w:rPr>
              <w:t xml:space="preserve">Distinguish: data eligible for adapter evolution (interactions with outcome signals) vs. data that should be discarded (queries with no signal or containing sensitive intent).</w:t>
            </w:r>
          </w:p>
          <w:p>
            <w:pPr>
              <w:spacing w:after="60" w:before="0"/>
            </w:pPr>
            <w:r>
              <w:rPr>
                <w:rFonts w:ascii="Arial" w:cs="Arial" w:eastAsia="Arial" w:hAnsi="Arial"/>
                <w:color w:val="595959"/>
                <w:sz w:val="20"/>
                <w:szCs w:val="20"/>
              </w:rPr>
              <w:t xml:space="preserve">User query content should not be stored in raw form beyond the interaction window. Distill to signals before persistence.</w:t>
            </w:r>
          </w:p>
          <w:p>
            <w:pPr>
              <w:spacing w:after="60" w:before="0"/>
            </w:pPr>
            <w:r>
              <w:rPr>
                <w:rFonts w:ascii="Arial" w:cs="Arial" w:eastAsia="Arial" w:hAnsi="Arial"/>
                <w:color w:val="595959"/>
                <w:sz w:val="20"/>
                <w:szCs w:val="20"/>
              </w:rPr>
              <w:t xml:space="preserve">Access policy: trajectory data used only for adapter evolution, never for knowledge base population.</w:t>
            </w:r>
          </w:p>
        </w:tc>
      </w:tr>
    </w:tbl>
    <w:p>
      <w:pPr>
        <w:spacing w:after="120" w:before="0"/>
      </w:pPr>
    </w:p>
    <w:p>
      <w:pPr>
        <w:pStyle w:val="Heading3"/>
        <w:spacing w:after="60" w:before="200"/>
      </w:pPr>
      <w:r>
        <w:rPr>
          <w:rFonts w:ascii="Arial" w:cs="Arial" w:eastAsia="Arial" w:hAnsi="Arial"/>
          <w:b/>
          <w:bCs/>
          <w:color w:val="1F7A8C"/>
          <w:sz w:val="22"/>
          <w:szCs w:val="22"/>
        </w:rPr>
        <w:t xml:space="preserve">Guardrail G4 — Stakes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OPEN ITEM — target: DEKE_Open_Items.docx</w:t>
            </w:r>
          </w:p>
          <w:p>
            <w:pPr>
              <w:spacing w:after="60" w:before="0"/>
            </w:pPr>
            <w:r>
              <w:rPr>
                <w:rFonts w:ascii="Arial" w:cs="Arial" w:eastAsia="Arial" w:hAnsi="Arial"/>
                <w:color w:val="595959"/>
                <w:sz w:val="20"/>
                <w:szCs w:val="20"/>
              </w:rPr>
              <w:t xml:space="preserve">If a query contains domain signals indicating production systems, financial decisions, or safety-adjacent topics, stakes should be floored at High regardless of the consumer-supplied hint.</w:t>
            </w:r>
          </w:p>
          <w:p>
            <w:pPr>
              <w:spacing w:after="60" w:before="0"/>
            </w:pPr>
            <w:r>
              <w:rPr>
                <w:rFonts w:ascii="Arial" w:cs="Arial" w:eastAsia="Arial" w:hAnsi="Arial"/>
                <w:color w:val="595959"/>
                <w:sz w:val="20"/>
                <w:szCs w:val="20"/>
              </w:rPr>
              <w:t xml:space="preserve">This is adapter-level domain knowledge and belongs in ShouldEscalate() logic.</w:t>
            </w:r>
          </w:p>
          <w:p>
            <w:pPr>
              <w:spacing w:after="60" w:before="0"/>
            </w:pPr>
            <w:r>
              <w:rPr>
                <w:rFonts w:ascii="Arial" w:cs="Arial" w:eastAsia="Arial" w:hAnsi="Arial"/>
                <w:color w:val="595959"/>
                <w:sz w:val="20"/>
                <w:szCs w:val="20"/>
              </w:rPr>
              <w:t xml:space="preserve">Specific trigger signals are domain-dependent and should be specified per adapter at configuration time.</w:t>
            </w:r>
          </w:p>
          <w:p>
            <w:pPr>
              <w:spacing w:after="60" w:before="0"/>
            </w:pPr>
            <w:r>
              <w:rPr>
                <w:rFonts w:ascii="Arial" w:cs="Arial" w:eastAsia="Arial" w:hAnsi="Arial"/>
                <w:color w:val="595959"/>
                <w:sz w:val="20"/>
                <w:szCs w:val="20"/>
              </w:rPr>
              <w:t xml:space="preserve">Deferred until P2-1 adapter configuration design is complete.</w:t>
            </w:r>
          </w:p>
        </w:tc>
      </w:tr>
    </w:tbl>
    <w:p>
      <w:pPr>
        <w:spacing w:after="120" w:before="0"/>
      </w:pPr>
    </w:p>
    <w:p>
      <w:pPr>
        <w:pStyle w:val="Heading3"/>
        <w:spacing w:after="60" w:before="200"/>
      </w:pPr>
      <w:r>
        <w:rPr>
          <w:rFonts w:ascii="Arial" w:cs="Arial" w:eastAsia="Arial" w:hAnsi="Arial"/>
          <w:b/>
          <w:bCs/>
          <w:color w:val="1F7A8C"/>
          <w:sz w:val="22"/>
          <w:szCs w:val="22"/>
        </w:rPr>
        <w:t xml:space="preserve">Guardrail G5 — Contradiction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DESIGN AMENDMENT — target: DEKE_Package2_Knowledge_Leverage.docx P2-2</w:t>
            </w:r>
          </w:p>
          <w:p>
            <w:pPr>
              <w:spacing w:after="60" w:before="0"/>
            </w:pPr>
            <w:r>
              <w:rPr>
                <w:rFonts w:ascii="Arial" w:cs="Arial" w:eastAsia="Arial" w:hAnsi="Arial"/>
                <w:color w:val="595959"/>
                <w:sz w:val="20"/>
                <w:szCs w:val="20"/>
              </w:rPr>
              <w:t xml:space="preserve">When Package 1 detects a contradiction between facts and selects the higher-confidence one, the advisory response must flag 'conflicting information exists on this topic'.</w:t>
            </w:r>
          </w:p>
          <w:p>
            <w:pPr>
              <w:spacing w:after="60" w:before="0"/>
            </w:pPr>
            <w:r>
              <w:rPr>
                <w:rFonts w:ascii="Arial" w:cs="Arial" w:eastAsia="Arial" w:hAnsi="Arial"/>
                <w:color w:val="595959"/>
                <w:sz w:val="20"/>
                <w:szCs w:val="20"/>
              </w:rPr>
              <w:t xml:space="preserve">This applies even when the served response is high-confidence.</w:t>
            </w:r>
          </w:p>
          <w:p>
            <w:pPr>
              <w:spacing w:after="60" w:before="0"/>
            </w:pPr>
            <w:r>
              <w:rPr>
                <w:rFonts w:ascii="Arial" w:cs="Arial" w:eastAsia="Arial" w:hAnsi="Arial"/>
                <w:color w:val="595959"/>
                <w:sz w:val="20"/>
                <w:szCs w:val="20"/>
              </w:rPr>
              <w:t xml:space="preserve">Add ContainsConflictingEvidence: bool to AdvisoryResponse contract.</w:t>
            </w:r>
          </w:p>
          <w:p>
            <w:pPr>
              <w:spacing w:after="60" w:before="0"/>
            </w:pPr>
            <w:r>
              <w:rPr>
                <w:rFonts w:ascii="Arial" w:cs="Arial" w:eastAsia="Arial" w:hAnsi="Arial"/>
                <w:color w:val="595959"/>
                <w:sz w:val="20"/>
                <w:szCs w:val="20"/>
              </w:rPr>
              <w:t xml:space="preserve">Consumer can use this flag to surface uncertainty to the end user or trigger manual review.</w:t>
            </w:r>
          </w:p>
        </w:tc>
      </w:tr>
    </w:tbl>
    <w:p>
      <w:r>
        <w:br w:type="page"/>
      </w:r>
    </w:p>
    <w:p>
      <w:pPr>
        <w:pStyle w:val="Heading1"/>
        <w:spacing w:after="120" w:before="320"/>
      </w:pPr>
      <w:r>
        <w:rPr>
          <w:rFonts w:ascii="Arial" w:cs="Arial" w:eastAsia="Arial" w:hAnsi="Arial"/>
          <w:b/>
          <w:bCs/>
          <w:color w:val="1F3864"/>
          <w:sz w:val="28"/>
          <w:szCs w:val="28"/>
        </w:rPr>
        <w:t xml:space="preserve">Part 3 — Consolidated Action Items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All action items from this session, organised by target document and priority.</w:t>
      </w:r>
    </w:p>
    <w:p>
      <w:pPr>
        <w:spacing w:after="120" w:before="0"/>
      </w:pPr>
    </w:p>
    <w:p>
      <w:pPr>
        <w:pStyle w:val="Heading2"/>
        <w:spacing w:after="80" w:before="240"/>
      </w:pPr>
      <w:r>
        <w:rPr>
          <w:rFonts w:ascii="Arial" w:cs="Arial" w:eastAsia="Arial" w:hAnsi="Arial"/>
          <w:b/>
          <w:bCs/>
          <w:color w:val="2E75B6"/>
          <w:sz w:val="24"/>
          <w:szCs w:val="24"/>
        </w:rPr>
        <w:t xml:space="preserve">Critical Path — Must Resolve Before First Advisory Call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 &amp; Section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P3-1 AMENDMENT: Extend interaction log to capture full trajectory (retrieved fact content, full context window, LLM reasoning trace, intermediate retrieval scores)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G2 AMENDMENT: Add Response Audit Record to P3-1 persistence design (adapter variant ID, fact confidence scores at retrieval time, model used, stakes, raw output)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G3 AMENDMENT: Add Trajectory Data Governance subsection to P3-1 (retention, access policy, distillation rules)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bl>
    <w:p>
      <w:pPr>
        <w:spacing w:after="120" w:before="0"/>
      </w:pPr>
    </w:p>
    <w:p>
      <w:pPr>
        <w:pStyle w:val="Heading2"/>
        <w:spacing w:after="80" w:before="240"/>
      </w:pPr>
      <w:r>
        <w:rPr>
          <w:rFonts w:ascii="Arial" w:cs="Arial" w:eastAsia="Arial" w:hAnsi="Arial"/>
          <w:b/>
          <w:bCs/>
          <w:color w:val="2E75B6"/>
          <w:sz w:val="24"/>
          <w:szCs w:val="24"/>
        </w:rPr>
        <w:t xml:space="preserve">Design Amendments — Incorporate at Next Document Edit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 &amp; Section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P3-5 AMENDMENT: Replace parameter perturbation with GEPA-derived reflective mutation mechanism. Document full component mapping and shadow mode protocol.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G1 AMENDMENT: Add honesty constraint safety gate to P3-5 promotion criteria. Variants degrading confidence ratio are disqualified.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G5 AMENDMENT: Add ContainsConflictingEvidence field to AdvisoryResponse. Set when Package 1 contradiction resolution is triggered.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 P2-2 and response contract</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PHILOSOPHY: Add Three Laws framing (Endure &gt; Excel &gt; Evolve as MASE paradigm). Document Package 1 as contribution to underexplored structured-knowledge-with-trust-metadata problem.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PHILOSOPHY: Add honesty constraint framing as epistemic integrity / self-preservation. Add moral crumple zone note to OI-09 description.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and DEKE_Open_Items.docx — OI-09</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RATIONALE: Add ES paper citation as validation of MAP-Elites population approach and anti-Goodhart mechanism.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rationale</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Cite survey as validation of three-signal feedback design. Add niche competition citation for credit assignment.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and DEKE_Package3_Evolution_Engine.docx — P3-5</w:t>
            </w:r>
          </w:p>
        </w:tc>
      </w:tr>
    </w:tbl>
    <w:p>
      <w:pPr>
        <w:spacing w:after="120" w:before="0"/>
      </w:pPr>
    </w:p>
    <w:p>
      <w:pPr>
        <w:pStyle w:val="Heading2"/>
        <w:spacing w:after="80" w:before="240"/>
      </w:pPr>
      <w:r>
        <w:rPr>
          <w:rFonts w:ascii="Arial" w:cs="Arial" w:eastAsia="Arial" w:hAnsi="Arial"/>
          <w:b/>
          <w:bCs/>
          <w:color w:val="2E75B6"/>
          <w:sz w:val="24"/>
          <w:szCs w:val="24"/>
        </w:rPr>
        <w:t xml:space="preserve">Open Items — Add to Backlog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 Item</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ES-style update rules as alternative to delta-propagation for adapter evolution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at P3-5 design time. Low priority until GEPA-style mutation is implemented.</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OI-07 EXPAND: Version-aware contradiction resolution without ground truth is an unsolved research problem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Needs deeper design work before P1-3. Survey confirms this is not a deferred detail but an active gap.</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OI-09 PRIORITY ELEVATE: Curator Workflow is an accountability mechanism, not just a quality gate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EvoAgentX confirms HITL is necessary in production. Responsibility chain must be explicitly assigned.</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Stakes Floor — domain-signal-triggered escalation floor at 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Deferred until P2-1 adapter configuration design is complete.</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'optimize_anything' generalisation — future evolution of fact weighting and retrieval strategies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Long-range consideration. No action required Phase 1.</w:t>
            </w:r>
          </w:p>
        </w:tc>
      </w:tr>
    </w:tbl>
    <w:p>
      <w:pPr>
        <w:spacing w:after="120" w:before="0"/>
      </w:pPr>
    </w:p>
    <w:p>
      <w:pPr>
        <w:pStyle w:val="Heading2"/>
        <w:spacing w:after="80" w:before="240"/>
      </w:pPr>
      <w:r>
        <w:rPr>
          <w:rFonts w:ascii="Arial" w:cs="Arial" w:eastAsia="Arial" w:hAnsi="Arial"/>
          <w:b/>
          <w:bCs/>
          <w:color w:val="2E75B6"/>
          <w:sz w:val="24"/>
          <w:szCs w:val="24"/>
        </w:rPr>
        <w:t xml:space="preserve">Summary Assessment</w:t>
      </w:r>
    </w:p>
    <w:p>
      <w:pPr>
        <w:spacing w:after="120" w:before="0"/>
      </w:pPr>
    </w:p>
    <w:p>
      <w:pPr>
        <w:spacing w:after="120" w:before="0"/>
      </w:pPr>
      <w:r>
        <w:rPr>
          <w:rFonts w:ascii="Arial" w:cs="Arial" w:eastAsia="Arial" w:hAnsi="Arial"/>
          <w:sz w:val="22"/>
          <w:szCs w:val="22"/>
        </w:rPr>
        <w:t xml:space="preserve">The research reviewed this session does not require the DEKE architecture to change. It validates the core choices (MAP-Elites, three-signal feedback, population-based evolution, provenance schema) with independent academic support. The principal finding is that several of these choices are ahead of current published practice — Package 1 in particular addresses a gap the survey literature has not yet solved.</w:t>
      </w:r>
    </w:p>
    <w:p>
      <w:pPr>
        <w:spacing w:after="120" w:before="0"/>
      </w:pPr>
    </w:p>
    <w:p>
      <w:pPr>
        <w:spacing w:after="120" w:before="0"/>
      </w:pPr>
      <w:r>
        <w:rPr>
          <w:rFonts w:ascii="Arial" w:cs="Arial" w:eastAsia="Arial" w:hAnsi="Arial"/>
          <w:sz w:val="22"/>
          <w:szCs w:val="22"/>
        </w:rPr>
        <w:t xml:space="preserve">The guardrail analysis reveals that the accountability infrastructure (audit records, data governance, evolution safety gate) is the most significant current gap. All three critical-path items relate to P3-1 and must be addressed as a single coherent amendment before any advisory interactions are logged. Retrofitting an insufficient log format after the fact would be expensive.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Recommended next action</w:t>
            </w:r>
          </w:p>
          <w:p>
            <w:pPr>
              <w:spacing w:after="60" w:before="0"/>
            </w:pPr>
            <w:r>
              <w:rPr>
                <w:rFonts w:ascii="Arial" w:cs="Arial" w:eastAsia="Arial" w:hAnsi="Arial"/>
                <w:color w:val="595959"/>
                <w:sz w:val="20"/>
                <w:szCs w:val="20"/>
              </w:rPr>
              <w:t xml:space="preserve">Draft the P3-1 amendment incorporating: full trajectory logging (from GEPA analysis), Response Audit Record (from G2), and Trajectory Data Governance Policy (from G3).</w:t>
            </w:r>
          </w:p>
          <w:p>
            <w:pPr>
              <w:spacing w:after="60" w:before="0"/>
            </w:pPr>
            <w:r>
              <w:rPr>
                <w:rFonts w:ascii="Arial" w:cs="Arial" w:eastAsia="Arial" w:hAnsi="Arial"/>
                <w:color w:val="595959"/>
                <w:sz w:val="20"/>
                <w:szCs w:val="20"/>
              </w:rPr>
              <w:t xml:space="preserve">This single document edit resolves all three critical-path items and unblocks the full P3 implementation sequence.</w:t>
            </w:r>
          </w:p>
        </w:tc>
      </w:tr>
    </w:tbl>
    <w:p>
      <w:r>
        <w:br w:type="page"/>
      </w:r>
    </w:p>
    <w:p>
      <w:pPr>
        <w:pStyle w:val="Heading1"/>
        <w:spacing w:before="320" w:after="120"/>
      </w:pPr>
      <w:r>
        <w:rPr>
          <w:rFonts w:ascii="Arial" w:hAnsi="Arial" w:cs="Arial"/>
          <w:b/>
          <w:bCs/>
          <w:color w:val="1F3864"/>
          <w:sz w:val="28"/>
          <w:szCs w:val="28"/>
        </w:rPr>
        <w:t>Appendix — Additional References (Supplementary Session)</w:t>
      </w:r>
    </w:p>
    <w:p>
      <w:pPr>
        <w:pBdr>
          <w:bottom w:val="single" w:sz="6" w:space="1" w:color="2E75B6"/>
        </w:pBdr>
        <w:spacing w:before="0" w:after="0"/>
      </w:pPr>
    </w:p>
    <w:p>
      <w:pPr>
        <w:spacing w:before="0" w:after="120"/>
      </w:pPr>
      <w:r>
        <w:rPr>
          <w:rFonts w:ascii="Arial" w:hAnsi="Arial" w:cs="Arial"/>
          <w:sz w:val="22"/>
          <w:szCs w:val="22"/>
        </w:rPr>
        <w:t xml:space="preserve">A supplementary reference document was provided covering neuroevolution, neural architecture search, meta-learning, and online structural plasticity. The following entries assess DEKE relevance for each item.</w:t>
      </w:r>
    </w:p>
    <w:p>
      <w:pPr>
        <w:pStyle w:val="Heading2"/>
        <w:spacing w:before="240" w:after="80"/>
      </w:pPr>
      <w:r>
        <w:rPr>
          <w:rFonts w:ascii="Arial" w:hAnsi="Arial" w:cs="Arial"/>
          <w:b/>
          <w:bCs/>
          <w:color w:val="2E75B6"/>
          <w:sz w:val="24"/>
          <w:szCs w:val="24"/>
        </w:rPr>
        <w:t>Population Based Training (PBT) — HIGH RELEVANCE</w:t>
      </w:r>
    </w:p>
    <w:p>
      <w:pPr>
        <w:spacing w:before="0" w:after="60"/>
      </w:pPr>
      <w:r>
        <w:rPr>
          <w:rFonts w:ascii="Arial" w:hAnsi="Arial" w:cs="Arial"/>
          <w:i/>
          <w:iCs/>
          <w:color w:val="595959"/>
          <w:sz w:val="20"/>
          <w:szCs w:val="20"/>
        </w:rPr>
        <w:t>Jaderberg et al., 2017 — DeepMind</w:t>
      </w:r>
    </w:p>
    <w:p>
      <w:pPr>
        <w:spacing w:before="0" w:after="120"/>
      </w:pPr>
      <w:r>
        <w:rPr>
          <w:rFonts w:ascii="Arial" w:hAnsi="Arial" w:cs="Arial"/>
          <w:sz w:val="22"/>
          <w:szCs w:val="22"/>
        </w:rPr>
        <w:t xml:space="preserve">Asynchronous population optimisation that evolves both hyperparameters and weights online during training. Workers periodically exploit better-performing peers by copying their parameters, then explore by perturbing the copied configuration. The result is a population that adapts continuously without stopping to re-run a full search.</w:t>
      </w:r>
    </w:p>
    <w:p>
      <w:pPr>
        <w:spacing w:before="0" w:after="120"/>
      </w:pPr>
      <w:r>
        <w:rPr>
          <w:rFonts w:ascii="Arial" w:hAnsi="Arial" w:cs="Arial"/>
          <w:sz w:val="22"/>
          <w:szCs w:val="22"/>
        </w:rPr>
        <w:t xml:space="preserve">This is the closest published analog to what MAP-Elites does for DEKE adapters in Package 3. PBT’s exploit/explore cycle maps directly onto the P3-5 shadow-test-then-promote loop. The Jaderberg paper is recommended reading before finalising the P3-5 promotion timing and cadence design. In particular, PBT’s treatment of when to trigger an exploit step (fitness stagnation threshold) is directly applicable to deciding when DEKE should initiate a reflective mutation attempt.</w:t>
      </w:r>
    </w:p>
    <w:p>
      <w:pPr>
        <w:spacing w:before="0" w:after="120"/>
      </w:pPr>
      <w:r>
        <w:rPr>
          <w:rFonts w:ascii="Arial" w:hAnsi="Arial" w:cs="Arial"/>
          <w:b/>
          <w:bCs/>
          <w:sz w:val="22"/>
          <w:szCs w:val="22"/>
        </w:rPr>
        <w:t>Suggested action:</w:t>
      </w:r>
      <w:r>
        <w:rPr>
          <w:rFonts w:ascii="Arial" w:hAnsi="Arial" w:cs="Arial"/>
          <w:sz w:val="22"/>
          <w:szCs w:val="22"/>
        </w:rPr>
        <w:t xml:space="preserve"> Add to P3-5 reading list. Review exploit/explore trigger criteria before specifying mutation cadence.</w:t>
      </w:r>
    </w:p>
    <w:p>
      <w:pPr>
        <w:pStyle w:val="Heading2"/>
        <w:spacing w:before="240" w:after="80"/>
      </w:pPr>
      <w:r>
        <w:rPr>
          <w:rFonts w:ascii="Arial" w:hAnsi="Arial" w:cs="Arial"/>
          <w:b/>
          <w:bCs/>
          <w:color w:val="2E75B6"/>
          <w:sz w:val="24"/>
          <w:szCs w:val="24"/>
        </w:rPr>
        <w:t>Evolution Strategies as Scalable Alternative to RL — HIGH RELEVANCE</w:t>
      </w:r>
    </w:p>
    <w:p>
      <w:pPr>
        <w:spacing w:before="0" w:after="60"/>
      </w:pPr>
      <w:r>
        <w:rPr>
          <w:rFonts w:ascii="Arial" w:hAnsi="Arial" w:cs="Arial"/>
          <w:i/>
          <w:iCs/>
          <w:color w:val="595959"/>
          <w:sz w:val="20"/>
          <w:szCs w:val="20"/>
        </w:rPr>
        <w:t>OpenAI, 2017</w:t>
      </w:r>
    </w:p>
    <w:p>
      <w:pPr>
        <w:spacing w:before="0" w:after="120"/>
      </w:pPr>
      <w:r>
        <w:rPr>
          <w:rFonts w:ascii="Arial" w:hAnsi="Arial" w:cs="Arial"/>
          <w:sz w:val="22"/>
          <w:szCs w:val="22"/>
        </w:rPr>
        <w:t xml:space="preserve">Foundational demonstration that black-box evolutionary optimisation scales to modern tasks without backpropagation. Establishes the empirical track record that the ES fine-tuning paper (arXiv:2509.24372, covered in Part 1) builds on. Reading this alongside the 2025 ES paper gives the full lineage: ES has been production-viable since 2017 and has now extended to billion-parameter LLM fine-tuning.</w:t>
      </w:r>
    </w:p>
    <w:p>
      <w:pPr>
        <w:spacing w:before="0" w:after="120"/>
      </w:pPr>
      <w:r>
        <w:rPr>
          <w:rFonts w:ascii="Arial" w:hAnsi="Arial" w:cs="Arial"/>
          <w:b/>
          <w:bCs/>
          <w:sz w:val="22"/>
          <w:szCs w:val="22"/>
        </w:rPr>
        <w:t>Suggested action:</w:t>
      </w:r>
      <w:r>
        <w:rPr>
          <w:rFonts w:ascii="Arial" w:hAnsi="Arial" w:cs="Arial"/>
          <w:sz w:val="22"/>
          <w:szCs w:val="22"/>
        </w:rPr>
        <w:t xml:space="preserve"> No design change required. Strengthens the existing ES rationale already documented in Part 1, Paper 1. Cite alongside arXiv:2509.24372 in P3-5 rationale section.</w:t>
      </w:r>
    </w:p>
    <w:p>
      <w:pPr>
        <w:pStyle w:val="Heading2"/>
        <w:spacing w:before="240" w:after="80"/>
      </w:pPr>
      <w:r>
        <w:rPr>
          <w:rFonts w:ascii="Arial" w:hAnsi="Arial" w:cs="Arial"/>
          <w:b/>
          <w:bCs/>
          <w:color w:val="2E75B6"/>
          <w:sz w:val="24"/>
          <w:szCs w:val="24"/>
        </w:rPr>
        <w:t>SharpNEAT — MODERATE RELEVANCE (implementation reference only)</w:t>
      </w:r>
    </w:p>
    <w:p>
      <w:pPr>
        <w:spacing w:before="0" w:after="60"/>
      </w:pPr>
      <w:r>
        <w:rPr>
          <w:rFonts w:ascii="Arial" w:hAnsi="Arial" w:cs="Arial"/>
          <w:i/>
          <w:iCs/>
          <w:color w:val="595959"/>
          <w:sz w:val="20"/>
          <w:szCs w:val="20"/>
        </w:rPr>
        <w:t>Mature C#/.NET NEAT implementation</w:t>
      </w:r>
    </w:p>
    <w:p>
      <w:pPr>
        <w:spacing w:before="0" w:after="120"/>
      </w:pPr>
      <w:r>
        <w:rPr>
          <w:rFonts w:ascii="Arial" w:hAnsi="Arial" w:cs="Arial"/>
          <w:sz w:val="22"/>
          <w:szCs w:val="22"/>
        </w:rPr>
        <w:t xml:space="preserve">Not directly applicable to DEKE: NEAT evolves neural network topologies and weights, whereas DEKE evolves prompt artifacts and retrieval configurations. However, SharpNEAT is a well-maintained .NET 6+ library and its codebase is worth examining for one specific concern: how it manages population archives, speciation buckets, and fitness tracking in a C# context. These patterns may inform the MAP-Elites archive implementation in P3-3.</w:t>
      </w:r>
    </w:p>
    <w:p>
      <w:pPr>
        <w:spacing w:before="0" w:after="120"/>
      </w:pPr>
      <w:r>
        <w:rPr>
          <w:rFonts w:ascii="Arial" w:hAnsi="Arial" w:cs="Arial"/>
          <w:b/>
          <w:bCs/>
          <w:sz w:val="22"/>
          <w:szCs w:val="22"/>
        </w:rPr>
        <w:t>Suggested action:</w:t>
      </w:r>
      <w:r>
        <w:rPr>
          <w:rFonts w:ascii="Arial" w:hAnsi="Arial" w:cs="Arial"/>
          <w:sz w:val="22"/>
          <w:szCs w:val="22"/>
        </w:rPr>
        <w:t xml:space="preserve"> Review SharpNEAT source for population archive and fitness data structure patterns before designing the P3-3 MAP-Elites archive schema. No design change to existing documents required at this stage.</w:t>
      </w:r>
    </w:p>
    <w:p>
      <w:pPr>
        <w:pStyle w:val="Heading2"/>
        <w:spacing w:before="240" w:after="80"/>
      </w:pPr>
      <w:r>
        <w:rPr>
          <w:rFonts w:ascii="Arial" w:hAnsi="Arial" w:cs="Arial"/>
          <w:b/>
          <w:bCs/>
          <w:color w:val="2E75B6"/>
          <w:sz w:val="24"/>
          <w:szCs w:val="24"/>
        </w:rPr>
        <w:t>Remaining References — LOW RELEVANCE for Phase 1/2</w:t>
      </w:r>
    </w:p>
    <w:p>
      <w:pPr>
        <w:spacing w:before="0" w:after="120"/>
      </w:pPr>
      <w:r>
        <w:rPr>
          <w:rFonts w:ascii="Arial" w:hAnsi="Arial" w:cs="Arial"/>
          <w:sz w:val="22"/>
          <w:szCs w:val="22"/>
        </w:rPr>
        <w:t xml:space="preserve">The following items from the reference document are noted but not actionable for the current DEKE implementation scope:</w:t>
      </w:r>
    </w:p>
    <w:p>
      <w:pPr>
        <w:numPr>
          <w:ilvl w:val="0"/>
          <w:numId w:val="1"/>
        </w:numPr>
        <w:spacing w:before="0" w:after="60"/>
      </w:pPr>
      <w:r>
        <w:rPr>
          <w:rFonts w:ascii="Arial" w:hAnsi="Arial" w:cs="Arial"/>
          <w:b/>
          <w:bCs/>
          <w:sz w:val="22"/>
          <w:szCs w:val="22"/>
        </w:rPr>
        <w:t>NEAT / NEAT-Python:</w:t>
      </w:r>
      <w:r>
        <w:rPr>
          <w:rFonts w:ascii="Arial" w:hAnsi="Arial" w:cs="Arial"/>
          <w:sz w:val="22"/>
          <w:szCs w:val="22"/>
        </w:rPr>
        <w:t xml:space="preserve"> Topology evolution operates at a different abstraction level than DEKE’s prompt artifact evolution. Foundational reading but no implementation relevance Phase 1/2.</w:t>
      </w:r>
    </w:p>
    <w:p>
      <w:pPr>
        <w:numPr>
          <w:ilvl w:val="0"/>
          <w:numId w:val="1"/>
        </w:numPr>
        <w:spacing w:before="0" w:after="60"/>
      </w:pPr>
      <w:r>
        <w:rPr>
          <w:rFonts w:ascii="Arial" w:hAnsi="Arial" w:cs="Arial"/>
          <w:b/>
          <w:bCs/>
          <w:sz w:val="22"/>
          <w:szCs w:val="22"/>
        </w:rPr>
        <w:t>AutoML-Zero (Real et al., 2020):</w:t>
      </w:r>
      <w:r>
        <w:rPr>
          <w:rFonts w:ascii="Arial" w:hAnsi="Arial" w:cs="Arial"/>
          <w:sz w:val="22"/>
          <w:szCs w:val="22"/>
        </w:rPr>
        <w:t xml:space="preserve"> Evolves whole learning algorithms from primitive operations. Conceptually related to GEPA’s “optimize_anything” extension but operates at a far lower level. Relevant only if DEKE ever evolves its retrieval or embedding model.</w:t>
      </w:r>
    </w:p>
    <w:p>
      <w:pPr>
        <w:numPr>
          <w:ilvl w:val="0"/>
          <w:numId w:val="1"/>
        </w:numPr>
        <w:spacing w:before="0" w:after="60"/>
      </w:pPr>
      <w:r>
        <w:rPr>
          <w:rFonts w:ascii="Arial" w:hAnsi="Arial" w:cs="Arial"/>
          <w:b/>
          <w:bCs/>
          <w:sz w:val="22"/>
          <w:szCs w:val="22"/>
        </w:rPr>
        <w:t>Self-Assembling Neural Networks (Plantec et al., 2024):</w:t>
      </w:r>
      <w:r>
        <w:rPr>
          <w:rFonts w:ascii="Arial" w:hAnsi="Arial" w:cs="Arial"/>
          <w:sz w:val="22"/>
          <w:szCs w:val="22"/>
        </w:rPr>
        <w:t xml:space="preserve"> Biologically inspired structural plasticity driven by activity and experience. Long-range inspiration for a future DEKE version that adapts its knowledge graph topology, not applicable now.</w:t>
      </w:r>
    </w:p>
    <w:p>
      <w:pPr>
        <w:numPr>
          <w:ilvl w:val="0"/>
          <w:numId w:val="1"/>
        </w:numPr>
        <w:spacing w:before="0" w:after="60"/>
      </w:pPr>
      <w:r>
        <w:rPr>
          <w:rFonts w:ascii="Arial" w:hAnsi="Arial" w:cs="Arial"/>
          <w:b/>
          <w:bCs/>
          <w:sz w:val="22"/>
          <w:szCs w:val="22"/>
        </w:rPr>
        <w:t>EvoJAX / AutoKeras:</w:t>
      </w:r>
      <w:r>
        <w:rPr>
          <w:rFonts w:ascii="Arial" w:hAnsi="Arial" w:cs="Arial"/>
          <w:sz w:val="22"/>
          <w:szCs w:val="22"/>
        </w:rPr>
        <w:t xml:space="preserve"> JAX/Python ecosystem, incompatible with DEKE’s .NET stack. No action.</w:t>
      </w:r>
    </w:p>
    <w:p>
      <w:pPr>
        <w:spacing w:before="200" w:after="120"/>
      </w:pPr>
      <w:r>
        <w:rPr>
          <w:rFonts w:ascii="Arial" w:hAnsi="Arial" w:cs="Arial"/>
          <w:sz w:val="22"/>
          <w:szCs w:val="22"/>
        </w:rPr>
        <w:t xml:space="preserve">Collectively, the supplementary document confirms that the evolutionary optimisation approaches DEKE relies on (ES-class methods, population-based training, MAP-Elites) are well-established across the broader ML literature and are not experimental choices. The primary addition to the action list is the PBT paper as required reading before P3-5 cadence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2026-03-12T23:48:00.179Z</dcterms:created>
  <dcterms:modified xsi:type="dcterms:W3CDTF">2026-03-12T23:48:00.180Z</dcterms:modified>
</cp:coreProperties>
</file>

<file path=docProps/custom.xml><?xml version="1.0" encoding="utf-8"?>
<Properties xmlns="http://schemas.openxmlformats.org/officeDocument/2006/custom-properties" xmlns:vt="http://schemas.openxmlformats.org/officeDocument/2006/docPropsVTypes"/>
</file>