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Calibri" w:cs="Calibri" w:eastAsia="Calibri" w:hAnsi="Calibri"/>
          <w:sz w:val="22"/>
          <w:szCs w:val="22"/>
        </w:rPr>
        <w:t xml:space="preserve"/>
      </w:r>
    </w:p>
    <w:p>
      <w:pPr>
        <w:spacing w:after="40" w:before="0"/>
        <w:jc w:val="center"/>
      </w:pPr>
      <w:r>
        <w:rPr>
          <w:rFonts w:ascii="Calibri" w:cs="Calibri" w:eastAsia="Calibri" w:hAnsi="Calibri"/>
          <w:b/>
          <w:bCs/>
          <w:color w:val="1F3864"/>
          <w:sz w:val="72"/>
          <w:szCs w:val="72"/>
        </w:rPr>
        <w:t xml:space="preserve">DEKE</w:t>
      </w:r>
    </w:p>
    <w:p>
      <w:pPr>
        <w:spacing w:after="60" w:before="0"/>
        <w:jc w:val="center"/>
      </w:pPr>
      <w:r>
        <w:rPr>
          <w:rFonts w:ascii="Calibri" w:cs="Calibri" w:eastAsia="Calibri" w:hAnsi="Calibri"/>
          <w:color w:val="2E75B6"/>
          <w:sz w:val="36"/>
          <w:szCs w:val="36"/>
        </w:rPr>
        <w:t xml:space="preserve">Open Items &amp; Future Prospects</w:t>
      </w:r>
    </w:p>
    <w:p>
      <w:pPr>
        <w:spacing w:after="360" w:before="0"/>
        <w:jc w:val="center"/>
      </w:pPr>
      <w:r>
        <w:rPr>
          <w:rFonts w:ascii="Calibri" w:cs="Calibri" w:eastAsia="Calibri" w:hAnsi="Calibri"/>
          <w:i/>
          <w:iCs/>
          <w:color w:val="555555"/>
          <w:sz w:val="24"/>
          <w:szCs w:val="24"/>
        </w:rPr>
        <w:t xml:space="preserve">Gaps, deferred decisions, and design threads worth revisiting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1.0 — captured March 2026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Source sessions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Package 1/2/3 design + Package 3 research session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All items deferred — none block current implementation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Companion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Package 1 Implementation Plan · Package 2: Knowledge Leverage · Package 3: Evolution Engine</w:t>
            </w:r>
          </w:p>
        </w:tc>
      </w:tr>
    </w:tbl>
    <w:p>
      <w:pPr>
        <w:spacing w:after="0" w:before="200"/>
      </w:pPr>
      <w:r>
        <w:rPr>
          <w:rFonts w:ascii="Calibri" w:cs="Calibri" w:eastAsia="Calibri" w:hAnsi="Calibri"/>
          <w:sz w:val="22"/>
          <w:szCs w:val="22"/>
        </w:rPr>
        <w:t xml:space="preserve"/>
      </w:r>
    </w:p>
    <w:p>
      <w:r>
        <w:br w:type="page"/>
      </w:r>
    </w:p>
    <w:p>
      <w:pPr>
        <w:pStyle w:val="Heading1"/>
        <w:spacing w:after="120" w:before="360"/>
      </w:pPr>
      <w:r>
        <w:rPr>
          <w:rFonts w:ascii="Calibri" w:cs="Calibri" w:eastAsia="Calibri" w:hAnsi="Calibri"/>
          <w:b/>
          <w:bCs/>
          <w:color w:val="1F3864"/>
          <w:sz w:val="32"/>
          <w:szCs w:val="32"/>
        </w:rPr>
        <w:t xml:space="preserve">Purpose of This Document</w:t>
      </w:r>
    </w:p>
    <w:p>
      <w:pPr>
        <w:spacing w:after="80" w:before="60"/>
      </w:pPr>
      <w:r>
        <w:rPr>
          <w:rFonts w:ascii="Calibri" w:cs="Calibri" w:eastAsia="Calibri" w:hAnsi="Calibri"/>
          <w:sz w:val="22"/>
          <w:szCs w:val="22"/>
        </w:rPr>
        <w:t xml:space="preserve">During the design sessions for DEKE Packages 1, 2, and 3, a number of threads surfaced that were recognised as valuable but deliberately set aside to avoid scope creep. This document captures them while the reasoning is fresh, so they can be revisited at the right time without being lost.</w:t>
      </w:r>
    </w:p>
    <w:p>
      <w:pPr>
        <w:spacing w:after="0" w:before="60"/>
      </w:pPr>
      <w:r>
        <w:rPr>
          <w:rFonts w:ascii="Calibri" w:cs="Calibri" w:eastAsia="Calibri" w:hAnsi="Calibri"/>
          <w:sz w:val="22"/>
          <w:szCs w:val="22"/>
        </w:rPr>
        <w:t xml:space="preserve"/>
      </w:r>
    </w:p>
    <w:p>
      <w:pPr>
        <w:spacing w:after="80" w:before="60"/>
      </w:pPr>
      <w:r>
        <w:rPr>
          <w:rFonts w:ascii="Calibri" w:cs="Calibri" w:eastAsia="Calibri" w:hAnsi="Calibri"/>
          <w:sz w:val="22"/>
          <w:szCs w:val="22"/>
        </w:rPr>
        <w:t xml:space="preserve">Each item is recorded with: what it is, why it was deferred, and a concrete trigger condition for when it should be picked up. Items are grouped by the part of the architecture they concern.</w:t>
      </w:r>
    </w:p>
    <w:p>
      <w:pPr>
        <w:spacing w:after="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Calibri" w:cs="Calibri" w:eastAsia="Calibri" w:hAnsi="Calibri"/>
                <w:b/>
                <w:bCs/>
                <w:color w:val="7F6000"/>
                <w:sz w:val="18"/>
                <w:szCs w:val="18"/>
              </w:rPr>
              <w:t xml:space="preserve">SCOPE NOTE</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i/>
                <w:iCs/>
                <w:color w:val="333333"/>
                <w:sz w:val="21"/>
                <w:szCs w:val="21"/>
              </w:rPr>
              <w:t xml:space="preserve">None of these items block the current implementation phases. They are opportunities, not debts. Some may prove unnecessary once the system is running. Others may turn out to be more urgent than currently expected. Review this document at each milestone.</w:t>
            </w:r>
          </w:p>
        </w:tc>
      </w:tr>
    </w:tbl>
    <w:p>
      <w:pPr>
        <w:spacing w:after="0" w:before="100"/>
      </w:pPr>
      <w:r>
        <w:rPr>
          <w:rFonts w:ascii="Calibri" w:cs="Calibri" w:eastAsia="Calibri" w:hAnsi="Calibri"/>
          <w:sz w:val="22"/>
          <w:szCs w:val="22"/>
        </w:rPr>
        <w:t xml:space="preserve"/>
      </w:r>
    </w:p>
    <w:p>
      <w:pPr>
        <w:pStyle w:val="Heading1"/>
        <w:spacing w:after="120" w:before="360"/>
      </w:pPr>
      <w:r>
        <w:rPr>
          <w:rFonts w:ascii="Calibri" w:cs="Calibri" w:eastAsia="Calibri" w:hAnsi="Calibri"/>
          <w:b/>
          <w:bCs/>
          <w:color w:val="1F3864"/>
          <w:sz w:val="32"/>
          <w:szCs w:val="32"/>
        </w:rPr>
        <w:t xml:space="preserve">Quick Reference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OI-01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Curiosity Blockade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OI-02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Domain Question Corpus Seeding</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OI-03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Cross-Domain Adapter Transfer</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color w:val="000000"/>
                <w:sz w:val="20"/>
                <w:szCs w:val="20"/>
              </w:rPr>
              <w:t xml:space="preserve">OI-04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Multi-Turn Conversation Continuity</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color w:val="000000"/>
                <w:sz w:val="20"/>
                <w:szCs w:val="20"/>
              </w:rPr>
              <w:t xml:space="preserve">OI-05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Debate-and-Critique Feedback</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color w:val="000000"/>
                <w:sz w:val="20"/>
                <w:szCs w:val="20"/>
              </w:rPr>
              <w:t xml:space="preserve">OI-06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Social Proof as Corroboration Signal</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color w:val="000000"/>
                <w:sz w:val="20"/>
                <w:szCs w:val="20"/>
              </w:rPr>
              <w:t xml:space="preserve">OI-07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Version-Aware Contradiction Resolution (Package 1)</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alibri" w:cs="Calibri" w:eastAsia="Calibri" w:hAnsi="Calibri"/>
                <w:color w:val="000000"/>
                <w:sz w:val="20"/>
                <w:szCs w:val="20"/>
              </w:rPr>
              <w:t xml:space="preserve">OI-08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Fact Retirement vs Archival</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alibri" w:cs="Calibri" w:eastAsia="Calibri" w:hAnsi="Calibri"/>
                <w:color w:val="000000"/>
                <w:sz w:val="20"/>
                <w:szCs w:val="20"/>
              </w:rPr>
              <w:t xml:space="preserve">OI-09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Curator Workflow</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alibri" w:cs="Calibri" w:eastAsia="Calibri" w:hAnsi="Calibri"/>
                <w:color w:val="000000"/>
                <w:sz w:val="20"/>
                <w:szCs w:val="20"/>
              </w:rPr>
              <w:t xml:space="preserve">OI-10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A2A Exposure — Concrete Trigger Conditions</w:t>
            </w:r>
          </w:p>
        </w:tc>
      </w:tr>
    </w:tbl>
    <w:p>
      <w:pPr>
        <w:spacing w:after="0" w:before="200"/>
      </w:pPr>
      <w:r>
        <w:rPr>
          <w:rFonts w:ascii="Calibri" w:cs="Calibri" w:eastAsia="Calibri" w:hAnsi="Calibri"/>
          <w:sz w:val="22"/>
          <w:szCs w:val="22"/>
        </w:rPr>
        <w:t xml:space="preserve"/>
      </w:r>
    </w:p>
    <w:p>
      <w:r>
        <w:br w:type="page"/>
      </w:r>
    </w:p>
    <w:p>
      <w:pPr>
        <w:pStyle w:val="Heading1"/>
        <w:spacing w:after="120" w:before="360"/>
      </w:pPr>
      <w:r>
        <w:rPr>
          <w:rFonts w:ascii="Calibri" w:cs="Calibri" w:eastAsia="Calibri" w:hAnsi="Calibri"/>
          <w:b/>
          <w:bCs/>
          <w:color w:val="1F3864"/>
          <w:sz w:val="32"/>
          <w:szCs w:val="32"/>
        </w:rPr>
        <w:t xml:space="preserve">Group A — Open Design Questions Inside the Three Packages</w:t>
      </w:r>
    </w:p>
    <w:p>
      <w:pPr>
        <w:spacing w:after="80" w:before="60"/>
      </w:pPr>
      <w:r>
        <w:rPr>
          <w:rFonts w:ascii="Calibri" w:cs="Calibri" w:eastAsia="Calibri" w:hAnsi="Calibri"/>
          <w:sz w:val="22"/>
          <w:szCs w:val="22"/>
        </w:rPr>
        <w:t xml:space="preserve">These items are gaps within already-specced packages. They do not require new packages but do require design work before implementation can be considered complete.</w:t>
      </w:r>
    </w:p>
    <w:p>
      <w:pPr>
        <w:spacing w:after="0" w:before="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OI-01  </w:t>
            </w:r>
            <w:r>
              <w:rPr>
                <w:rFonts w:ascii="Calibri" w:cs="Calibri" w:eastAsia="Calibri" w:hAnsi="Calibri"/>
                <w:b/>
                <w:bCs/>
                <w:color w:val="2E75B6"/>
                <w:sz w:val="24"/>
                <w:szCs w:val="24"/>
              </w:rPr>
              <w:t xml:space="preserve">The Curiosity Blockade</w:t>
            </w:r>
          </w:p>
          <w:p>
            <w:pPr>
              <w:spacing w:after="60" w:before="0"/>
            </w:pPr>
            <w:r>
              <w:rPr>
                <w:rFonts w:ascii="Calibri" w:cs="Calibri" w:eastAsia="Calibri" w:hAnsi="Calibri"/>
                <w:i/>
                <w:iCs/>
                <w:color w:val="666666"/>
                <w:sz w:val="18"/>
                <w:szCs w:val="18"/>
              </w:rPr>
              <w:t xml:space="preserve">Category: Package 3 — Curiosity Service   ·   Priority: Medium</w:t>
            </w:r>
          </w:p>
          <w:p>
            <w:pPr>
              <w:spacing w:after="40" w:before="40"/>
            </w:pPr>
            <w:r>
              <w:rPr>
                <w:rFonts w:ascii="Calibri" w:cs="Calibri" w:eastAsia="Calibri" w:hAnsi="Calibri"/>
                <w:sz w:val="21"/>
                <w:szCs w:val="21"/>
              </w:rPr>
              <w:t xml:space="preserve">The Curiosity Service drives self-directed knowledge acquisition by querying DEKE on hypothetical domain questions and measuring answerability. This works well once the domain has enough knowledge to generate meaningful self-test questions. But what happens at absolute cold start, or when DEKE encounters a topic so unknown it cannot even form useful questions about it?
The curiosity loop can stall: if DEKE asks itself a question, retrieves nothing, scores answerability as zero, and flags it as a high-priority gap — but Package 1 harvests some sources and returns low-confidence tangentially-related facts — the curiosity score barely moves. The system is stuck in a low-reward region where it cannot make progress and stops generating useful curiosity signals. This is directly analogous to the 'curiosity blockade' observed in game-playing RL agents (Pathak et al.) where agents that encountered an area too hard to learn stopped making progress and curiosity saturated.
A concrete solution has not been designed. Candidate approaches include: seeding with expert-authored 'starter questions' for new domains, using a broader web search fallback when retrieval returns nothing, or applying a minimum exploration budget that forces harvesting even when the curiosity signal is weak.</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No production domain has hit this problem yet. It is a theoretical gap at this stage.</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First domain reaches a topic cluster where three consecutive curiosity-driven harvest cycles return near-zero improvement in answerability for that cluster.</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OI-02  </w:t>
            </w:r>
            <w:r>
              <w:rPr>
                <w:rFonts w:ascii="Calibri" w:cs="Calibri" w:eastAsia="Calibri" w:hAnsi="Calibri"/>
                <w:b/>
                <w:bCs/>
                <w:color w:val="2E75B6"/>
                <w:sz w:val="24"/>
                <w:szCs w:val="24"/>
              </w:rPr>
              <w:t xml:space="preserve">Domain Question Corpus Seeding</w:t>
            </w:r>
          </w:p>
          <w:p>
            <w:pPr>
              <w:spacing w:after="60" w:before="0"/>
            </w:pPr>
            <w:r>
              <w:rPr>
                <w:rFonts w:ascii="Calibri" w:cs="Calibri" w:eastAsia="Calibri" w:hAnsi="Calibri"/>
                <w:i/>
                <w:iCs/>
                <w:color w:val="666666"/>
                <w:sz w:val="18"/>
                <w:szCs w:val="18"/>
              </w:rPr>
              <w:t xml:space="preserve">Category: Package 3 — Curiosity Service   ·   Priority: Medium</w:t>
            </w:r>
          </w:p>
          <w:p>
            <w:pPr>
              <w:spacing w:after="40" w:before="40"/>
            </w:pPr>
            <w:r>
              <w:rPr>
                <w:rFonts w:ascii="Calibri" w:cs="Calibri" w:eastAsia="Calibri" w:hAnsi="Calibri"/>
                <w:sz w:val="21"/>
                <w:szCs w:val="21"/>
              </w:rPr>
              <w:t xml:space="preserve">The Curiosity Service requires a domain question corpus — a set of representative questions that a knowledgeable user might ask in this domain — to run its self-query loop. The Package 3 document notes this corpus can be seeded manually during domain setup and extended automatically as knowledge accumulates.
What is missing is a concrete seeding strategy: Who authors the initial questions? How many are needed before the curiosity loop produces useful signals? Can an LLM generate them from a domain description, and if so, what quality checks apply? Should the corpus be versioned alongside the knowledge base?
For the Software Product Advisor, the bootstrap design sessions provide a natural source of seed questions. For future domains this is not guaranteed, and a systematic approach is needed.</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The Software Product Advisor bootstraps naturally from design session history. The general case is not urgent until a second domain is activated.</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Second domain is planned for activation and has no natural question corpus source equivalent to the design session history.</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OI-03  </w:t>
            </w:r>
            <w:r>
              <w:rPr>
                <w:rFonts w:ascii="Calibri" w:cs="Calibri" w:eastAsia="Calibri" w:hAnsi="Calibri"/>
                <w:b/>
                <w:bCs/>
                <w:color w:val="2E75B6"/>
                <w:sz w:val="24"/>
                <w:szCs w:val="24"/>
              </w:rPr>
              <w:t xml:space="preserve">Cross-Domain Adapter Transfer</w:t>
            </w:r>
          </w:p>
          <w:p>
            <w:pPr>
              <w:spacing w:after="60" w:before="0"/>
            </w:pPr>
            <w:r>
              <w:rPr>
                <w:rFonts w:ascii="Calibri" w:cs="Calibri" w:eastAsia="Calibri" w:hAnsi="Calibri"/>
                <w:i/>
                <w:iCs/>
                <w:color w:val="666666"/>
                <w:sz w:val="18"/>
                <w:szCs w:val="18"/>
              </w:rPr>
              <w:t xml:space="preserve">Category: Package 3 — Adapter Evolution   ·   Priority: Low (now) / Medium (later)</w:t>
            </w:r>
          </w:p>
          <w:p>
            <w:pPr>
              <w:spacing w:after="40" w:before="40"/>
            </w:pPr>
            <w:r>
              <w:rPr>
                <w:rFonts w:ascii="Calibri" w:cs="Calibri" w:eastAsia="Calibri" w:hAnsi="Calibri"/>
                <w:sz w:val="21"/>
                <w:szCs w:val="21"/>
              </w:rPr>
              <w:t xml:space="preserve">The MAP-Elites adapter archive evolves adapter configurations per domain through fitness-driven mutation and selection. Each domain's archive is currently independent. However, related domains likely share adapter patterns — a good fact-weighting strategy for software architecture questions may transfer well to a DevOps domain, and a good context formatting approach for legal advisory may transfer to medical advisory.
Cross-domain transfer would allow a new domain to start with battle-tested adapter variants borrowed from a related domain rather than evolving from the default adapter from scratch. This would significantly reduce the cold-start period for the adapter archive.
The MAP-Elites structure supports this mechanically — variants can be copied across archives. What is not designed is the transfer policy: which domains are 'related' enough to share, how are transferred variants marked to distinguish them from evolved-in-domain variants, and how is their fitness initialised in the new domain's archive.</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Only one domain exists. Cross-domain transfer requires at least two domains with overlapping behavioral niches.</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Two or more activated domains show correlated positive deltas on similar query types, suggesting shared adapter patterns.</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OI-04  </w:t>
            </w:r>
            <w:r>
              <w:rPr>
                <w:rFonts w:ascii="Calibri" w:cs="Calibri" w:eastAsia="Calibri" w:hAnsi="Calibri"/>
                <w:b/>
                <w:bCs/>
                <w:color w:val="2E75B6"/>
                <w:sz w:val="24"/>
                <w:szCs w:val="24"/>
              </w:rPr>
              <w:t xml:space="preserve">Multi-Turn Conversation Continuity</w:t>
            </w:r>
          </w:p>
          <w:p>
            <w:pPr>
              <w:spacing w:after="60" w:before="0"/>
            </w:pPr>
            <w:r>
              <w:rPr>
                <w:rFonts w:ascii="Calibri" w:cs="Calibri" w:eastAsia="Calibri" w:hAnsi="Calibri"/>
                <w:i/>
                <w:iCs/>
                <w:color w:val="666666"/>
                <w:sz w:val="18"/>
                <w:szCs w:val="18"/>
              </w:rPr>
              <w:t xml:space="preserve">Category: Package 2 — Advisory Pipeline   ·   Priority: Medium</w:t>
            </w:r>
          </w:p>
          <w:p>
            <w:pPr>
              <w:spacing w:after="40" w:before="40"/>
            </w:pPr>
            <w:r>
              <w:rPr>
                <w:rFonts w:ascii="Calibri" w:cs="Calibri" w:eastAsia="Calibri" w:hAnsi="Calibri"/>
                <w:sz w:val="21"/>
                <w:szCs w:val="21"/>
              </w:rPr>
              <w:t xml:space="preserve">AdvisoryRequest includes a SessionId and PriorExchanges array for multi-turn continuity. The contract exists but the mechanics were not designed. Specifically:
• How many prior exchanges are included? The context window has a limit and prior turns consume tokens. A truncation strategy is needed that preserves the most relevant prior context rather than simply the most recent N turns.
• How are facts cited in turn 2 handled in turn 5? If the user says 'expand on that' in turn 5, DEKE must know which facts were cited in the turn being referred to. CitedFactIds must be carried across turns, not just the text.
• Session state: where is the PriorExchanges buffer stored between turns? In the caller? In DEKE? A session store with TTL?
• Fact consistency: if the same fact appears in multiple turns, it should not be cited redundantly. The pipeline needs deduplication of fact citations across a session.
Multi-turn is not needed for the MCP tool use case (Claude Code typically makes single advisory calls) but is important for conversational use.</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MCP tool usage is single-turn. Multi-turn conversational interface is not the first consumer.</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A conversational UI or chat interface is built that calls Package 2 in a session context, or a consumer explicitly passes PriorExchanges in their API calls.</w:t>
            </w:r>
          </w:p>
        </w:tc>
      </w:tr>
    </w:tbl>
    <w:p>
      <w:pPr>
        <w:spacing w:after="0" w:before="200"/>
      </w:pPr>
      <w:r>
        <w:rPr>
          <w:rFonts w:ascii="Calibri" w:cs="Calibri" w:eastAsia="Calibri" w:hAnsi="Calibri"/>
          <w:sz w:val="22"/>
          <w:szCs w:val="22"/>
        </w:rPr>
        <w:t xml:space="preserve"/>
      </w:r>
    </w:p>
    <w:p>
      <w:r>
        <w:br w:type="page"/>
      </w:r>
    </w:p>
    <w:p>
      <w:pPr>
        <w:pStyle w:val="Heading1"/>
        <w:spacing w:after="120" w:before="360"/>
      </w:pPr>
      <w:r>
        <w:rPr>
          <w:rFonts w:ascii="Calibri" w:cs="Calibri" w:eastAsia="Calibri" w:hAnsi="Calibri"/>
          <w:b/>
          <w:bCs/>
          <w:color w:val="1F3864"/>
          <w:sz w:val="32"/>
          <w:szCs w:val="32"/>
        </w:rPr>
        <w:t xml:space="preserve">Group B — Research Threads Not Fully Explored</w:t>
      </w:r>
    </w:p>
    <w:p>
      <w:pPr>
        <w:spacing w:after="80" w:before="60"/>
      </w:pPr>
      <w:r>
        <w:rPr>
          <w:rFonts w:ascii="Calibri" w:cs="Calibri" w:eastAsia="Calibri" w:hAnsi="Calibri"/>
          <w:sz w:val="22"/>
          <w:szCs w:val="22"/>
        </w:rPr>
        <w:t xml:space="preserve">These items surfaced during the Package 3 research phase but were not developed into concrete design. The research indicates they are worth pursuing; the implementation path is not yet defined.</w:t>
      </w:r>
    </w:p>
    <w:p>
      <w:pPr>
        <w:spacing w:after="0" w:before="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OI-05  </w:t>
            </w:r>
            <w:r>
              <w:rPr>
                <w:rFonts w:ascii="Calibri" w:cs="Calibri" w:eastAsia="Calibri" w:hAnsi="Calibri"/>
                <w:b/>
                <w:bCs/>
                <w:color w:val="2E75B6"/>
                <w:sz w:val="24"/>
                <w:szCs w:val="24"/>
              </w:rPr>
              <w:t xml:space="preserve">Debate-and-Critique Feedback</w:t>
            </w:r>
          </w:p>
          <w:p>
            <w:pPr>
              <w:spacing w:after="60" w:before="0"/>
            </w:pPr>
            <w:r>
              <w:rPr>
                <w:rFonts w:ascii="Calibri" w:cs="Calibri" w:eastAsia="Calibri" w:hAnsi="Calibri"/>
                <w:i/>
                <w:iCs/>
                <w:color w:val="666666"/>
                <w:sz w:val="18"/>
                <w:szCs w:val="18"/>
              </w:rPr>
              <w:t xml:space="preserve">Category: Package 3 — Veracity Signal   ·   Priority: Low (research interest)</w:t>
            </w:r>
          </w:p>
          <w:p>
            <w:pPr>
              <w:spacing w:after="40" w:before="40"/>
            </w:pPr>
            <w:r>
              <w:rPr>
                <w:rFonts w:ascii="Calibri" w:cs="Calibri" w:eastAsia="Calibri" w:hAnsi="Calibri"/>
                <w:sz w:val="21"/>
                <w:szCs w:val="21"/>
              </w:rPr>
              <w:t xml:space="preserve">The Package 3 research covered AI Safety work on debate as a feedback mechanism: two model instances argue opposing positions on a claim, and the quality of the arguments becomes a signal about the claim's reliability. This is relevant to DEKE's veracity signal track — the Goodhart-resistant feedback channel that does not depend on user approval.
For Package 3, the mechanism would work as follows: when a contested fact is identified (contradictions detected, low corroboration), DEKE could instantiate a mini-debate: one model instance argues for the fact as stated, another argues against. An evaluator (either human or a third model instance) judges the debate. The outcome updates the fact's corroboration and contested status in Package 1.
This is more expensive than passive feedback collection but is applicable to exactly the cases where passive feedback is weakest — highly contested facts where user signals are noisy and biased. It is also potentially the most Goodhart-resistant signal available, since the debate is evaluated on argument quality rather than user approval.
The practical challenge is cost: each debate invocation requires multiple LLM calls. This makes it unsuitable for routine operation but potentially valuable as a targeted tool for resolving high-stakes contested facts.</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The veracity signal track is not yet implemented. Debate-and-critique is an enhancement to a mechanism that does not yet exist.</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Package 3 Phase P3-4 (Hindsight Loop) is running and identifies a class of persistently contested facts that passive feedback signals cannot resolve.</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OI-06  </w:t>
            </w:r>
            <w:r>
              <w:rPr>
                <w:rFonts w:ascii="Calibri" w:cs="Calibri" w:eastAsia="Calibri" w:hAnsi="Calibri"/>
                <w:b/>
                <w:bCs/>
                <w:color w:val="2E75B6"/>
                <w:sz w:val="24"/>
                <w:szCs w:val="24"/>
              </w:rPr>
              <w:t xml:space="preserve">Social Proof as Corroboration Signal</w:t>
            </w:r>
          </w:p>
          <w:p>
            <w:pPr>
              <w:spacing w:after="60" w:before="0"/>
            </w:pPr>
            <w:r>
              <w:rPr>
                <w:rFonts w:ascii="Calibri" w:cs="Calibri" w:eastAsia="Calibri" w:hAnsi="Calibri"/>
                <w:i/>
                <w:iCs/>
                <w:color w:val="666666"/>
                <w:sz w:val="18"/>
                <w:szCs w:val="18"/>
              </w:rPr>
              <w:t xml:space="preserve">Category: Package 3 — Feedback Framework   ·   Priority: Low</w:t>
            </w:r>
          </w:p>
          <w:p>
            <w:pPr>
              <w:spacing w:after="40" w:before="40"/>
            </w:pPr>
            <w:r>
              <w:rPr>
                <w:rFonts w:ascii="Calibri" w:cs="Calibri" w:eastAsia="Calibri" w:hAnsi="Calibri"/>
                <w:sz w:val="21"/>
                <w:szCs w:val="21"/>
              </w:rPr>
              <w:t xml:space="preserve">When multiple independent users receive the same advisory response and provide consistent feedback signals, that consistency is itself a form of corroboration — not of the individual facts, but of the response as a whole. This is the 'social proof' signal mentioned in the Package 3 synthesis.
The mechanism: if 10 independent users ask substantially similar questions and 8 of them provide positive feedback signals, that convergence is a stronger signal than any single user's feedback. Conversely, if consistent negative feedback is received from multiple independent users on a response grounded in a specific set of facts, those facts should be flagged for re-examination.
This requires: identifying 'substantially similar' queries (semantic similarity threshold), grouping interactions by response similarity, computing consensus signals across the group, and propagating the group signal back to the contributing facts and adapter configurations.
The main risk is that social proof can encode majority biases — if most users hold an incorrect belief, their consistent 'positive' feedback on a response that confirms that belief is noise, not signal. This must be weighted against the objective veracity track.</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DEKE does not yet have enough user interactions to form meaningful consensus groups. Social proof requires volume.</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A domain accumulates 50+ interactions on similar query clusters, enabling statistical confidence in consensus signals.</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OI-07  </w:t>
            </w:r>
            <w:r>
              <w:rPr>
                <w:rFonts w:ascii="Calibri" w:cs="Calibri" w:eastAsia="Calibri" w:hAnsi="Calibri"/>
                <w:b/>
                <w:bCs/>
                <w:color w:val="2E75B6"/>
                <w:sz w:val="24"/>
                <w:szCs w:val="24"/>
              </w:rPr>
              <w:t xml:space="preserve">Version-Aware Contradiction Resolution in Package 1</w:t>
            </w:r>
          </w:p>
          <w:p>
            <w:pPr>
              <w:spacing w:after="60" w:before="0"/>
            </w:pPr>
            <w:r>
              <w:rPr>
                <w:rFonts w:ascii="Calibri" w:cs="Calibri" w:eastAsia="Calibri" w:hAnsi="Calibri"/>
                <w:i/>
                <w:iCs/>
                <w:color w:val="666666"/>
                <w:sz w:val="18"/>
                <w:szCs w:val="18"/>
              </w:rPr>
              <w:t xml:space="preserve">Category: Package 1 — Quality Pipeline   ·   Priority: Medium</w:t>
            </w:r>
          </w:p>
          <w:p>
            <w:pPr>
              <w:spacing w:after="40" w:before="40"/>
            </w:pPr>
            <w:r>
              <w:rPr>
                <w:rFonts w:ascii="Calibri" w:cs="Calibri" w:eastAsia="Calibri" w:hAnsi="Calibri"/>
                <w:sz w:val="21"/>
                <w:szCs w:val="21"/>
              </w:rPr>
              <w:t xml:space="preserve">The Software Product Advisor design noted that a .NET 6 recommendation is not contradicted by a .NET 9 recommendation — they are versioned facts applicable to different contexts. This is true across many rapidly-evolving domains: a 2022 architectural pattern recommendation may be superseded by a 2024 one without the 2022 version being 'wrong' — it was correct for its era.
Current Package 1 contradiction detection operates on semantic similarity and factual overlap without version awareness. This will produce false-positive contradictions in version-rich domains: 'Use IHostedService for background tasks (.NET 5)' will appear to contradict 'Use BackgroundService for background tasks (.NET 6+)' even though both are correct for their respective target versions.
What is needed: a version tagging schema for facts (applies_to_version, deprecated_after_version), contradiction detection that treats version-scoped facts as non-contradicting by default, and a query-time version resolver that selects the most applicable fact version for the current query context.
This is not trivial — version relationships are domain-specific (software has SemVer, legal has jurisdiction + date, medicine has guidelines versions) and the schema needs to be general enough to capture all of them.</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Version-aware contradiction detection requires the version tagging schema to be defined in Package 1 Phase 1 (schema additions). The detection logic itself can be added in Phase 2.</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The Software Product Advisor begins returning false-positive contradiction warnings on well-known version-progressive patterns, or Package 1 Phase 2 (quality pipeline) is being implemented.</w:t>
            </w:r>
          </w:p>
        </w:tc>
      </w:tr>
    </w:tbl>
    <w:p>
      <w:pPr>
        <w:spacing w:after="0" w:before="200"/>
      </w:pPr>
      <w:r>
        <w:rPr>
          <w:rFonts w:ascii="Calibri" w:cs="Calibri" w:eastAsia="Calibri" w:hAnsi="Calibri"/>
          <w:sz w:val="22"/>
          <w:szCs w:val="22"/>
        </w:rPr>
        <w:t xml:space="preserve"/>
      </w:r>
    </w:p>
    <w:p>
      <w:r>
        <w:br w:type="page"/>
      </w:r>
    </w:p>
    <w:p>
      <w:pPr>
        <w:pStyle w:val="Heading1"/>
        <w:spacing w:after="120" w:before="360"/>
      </w:pPr>
      <w:r>
        <w:rPr>
          <w:rFonts w:ascii="Calibri" w:cs="Calibri" w:eastAsia="Calibri" w:hAnsi="Calibri"/>
          <w:b/>
          <w:bCs/>
          <w:color w:val="1F3864"/>
          <w:sz w:val="32"/>
          <w:szCs w:val="32"/>
        </w:rPr>
        <w:t xml:space="preserve">Group C — Structural Features Not Yet Designed</w:t>
      </w:r>
    </w:p>
    <w:p>
      <w:pPr>
        <w:spacing w:after="80" w:before="60"/>
      </w:pPr>
      <w:r>
        <w:rPr>
          <w:rFonts w:ascii="Calibri" w:cs="Calibri" w:eastAsia="Calibri" w:hAnsi="Calibri"/>
          <w:sz w:val="22"/>
          <w:szCs w:val="22"/>
        </w:rPr>
        <w:t xml:space="preserve">These are larger features that require their own design sessions. They were identified as important during design but are not part of any current package specification.</w:t>
      </w:r>
    </w:p>
    <w:p>
      <w:pPr>
        <w:spacing w:after="0" w:before="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OI-08  </w:t>
            </w:r>
            <w:r>
              <w:rPr>
                <w:rFonts w:ascii="Calibri" w:cs="Calibri" w:eastAsia="Calibri" w:hAnsi="Calibri"/>
                <w:b/>
                <w:bCs/>
                <w:color w:val="2E75B6"/>
                <w:sz w:val="24"/>
                <w:szCs w:val="24"/>
              </w:rPr>
              <w:t xml:space="preserve">Fact Retirement vs Archival Policy</w:t>
            </w:r>
          </w:p>
          <w:p>
            <w:pPr>
              <w:spacing w:after="60" w:before="0"/>
            </w:pPr>
            <w:r>
              <w:rPr>
                <w:rFonts w:ascii="Calibri" w:cs="Calibri" w:eastAsia="Calibri" w:hAnsi="Calibri"/>
                <w:i/>
                <w:iCs/>
                <w:color w:val="666666"/>
                <w:sz w:val="18"/>
                <w:szCs w:val="18"/>
              </w:rPr>
              <w:t xml:space="preserve">Category: Package 1 — Knowledge Integrity / Cross-cutting   ·   Priority: Medium</w:t>
            </w:r>
          </w:p>
          <w:p>
            <w:pPr>
              <w:spacing w:after="40" w:before="40"/>
            </w:pPr>
            <w:r>
              <w:rPr>
                <w:rFonts w:ascii="Calibri" w:cs="Calibri" w:eastAsia="Calibri" w:hAnsi="Calibri"/>
                <w:sz w:val="21"/>
                <w:szCs w:val="21"/>
              </w:rPr>
              <w:t xml:space="preserve">When a fact ages past its valid_until date, is superseded by a higher-confidence replacement, or is explicitly marked as incorrect — what happens to it? The current design implies deprecation or deletion. There is a strong case for archival instead.
The historical record of what was believed at a given time is itself valuable knowledge, particularly in fast-moving domains like software:
• Understanding the evolution of a pattern (what was recommended in 2020 vs 2024) requires retaining the history.
• Advisory responses served in the past were grounded in the facts that existed at the time. If those facts are deleted, Package 3 loses the ability to trace why a past advisory response had the quality it did.
• Some facts are not superseded but simply become domain-specific: an old recommendation may still be correct for legacy systems even if no longer current best practice.
The design needed: a retired_at timestamp and retired_reason field on facts, a query-time filter that excludes retired facts from active retrieval by default, an explicit 'include historical' flag for queries that need the evolution view, and a retention policy that defines how long archived facts are kept.</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No facts have yet been retired. The policy needs to be defined before the first batch of facts ages past valid_until.</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The first domain's facts begin approaching their valid_until dates, or Package 1 Phase 2 (quality pipeline with temporal validity) is being implemented.</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OI-09  </w:t>
            </w:r>
            <w:r>
              <w:rPr>
                <w:rFonts w:ascii="Calibri" w:cs="Calibri" w:eastAsia="Calibri" w:hAnsi="Calibri"/>
                <w:b/>
                <w:bCs/>
                <w:color w:val="2E75B6"/>
                <w:sz w:val="24"/>
                <w:szCs w:val="24"/>
              </w:rPr>
              <w:t xml:space="preserve">Curator Workflow</w:t>
            </w:r>
          </w:p>
          <w:p>
            <w:pPr>
              <w:spacing w:after="60" w:before="0"/>
            </w:pPr>
            <w:r>
              <w:rPr>
                <w:rFonts w:ascii="Calibri" w:cs="Calibri" w:eastAsia="Calibri" w:hAnsi="Calibri"/>
                <w:i/>
                <w:iCs/>
                <w:color w:val="666666"/>
                <w:sz w:val="18"/>
                <w:szCs w:val="18"/>
              </w:rPr>
              <w:t xml:space="preserve">Category: Package 2 + Package 3 — Human-in-the-Loop   ·   Priority: Medium</w:t>
            </w:r>
          </w:p>
          <w:p>
            <w:pPr>
              <w:spacing w:after="40" w:before="40"/>
            </w:pPr>
            <w:r>
              <w:rPr>
                <w:rFonts w:ascii="Calibri" w:cs="Calibri" w:eastAsia="Calibri" w:hAnsi="Calibri"/>
                <w:sz w:val="21"/>
                <w:szCs w:val="21"/>
              </w:rPr>
              <w:t xml:space="preserve">The escalation mechanism in Package 2 flags advisory responses that the domain adapter determines are too uncertain or too high-stakes to deliver without human review. ShouldEscalate() returns true, the response is marked as escalated, and an EscalationReason is attached.
What happens next is entirely undefined. There is no queue, no UI, no notification, and no workflow for a human curator to review the escalated response, approve or modify it, and release it to the waiting caller.
For the Software Product Advisor at Medium stakes with a single user (Mikael), this is not immediately critical — escalated responses can simply be returned to the user with a clear 'DEKE is not confident — treat with caution' flag. But for high-stakes domains (legal, medical) or for production multi-user deployments, a genuine curator workflow is required:
• A review queue showing escalated interactions pending human review.
• A curator interface for viewing the advisory draft, the contributing facts, and the escalation reason.
• Approval, modification, or rejection actions.
• The curator's decision fed back into Package 3 as a high-weight explicit feedback signal.
• Response delivery to the original caller only after curator approval.
This feature was noted in the original RAID Knowledge System Specification (2025-12-11) as part of the curation model. It belongs in Phase 5 of the overall DEKE roadmap.</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No high-stakes domain is currently planned. The Software Product Advisor at Medium stakes can operate without a curator queue.</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A high-stakes domain (legal, medical, financial) is planned for activation, or multi-user deployment is being considered where automated escalation without human review is insufficient.</w:t>
            </w:r>
          </w:p>
        </w:tc>
      </w:tr>
    </w:tbl>
    <w:p>
      <w:pPr>
        <w:spacing w:after="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rFonts w:ascii="Calibri" w:cs="Calibri" w:eastAsia="Calibri" w:hAnsi="Calibri"/>
                <w:b/>
                <w:bCs/>
                <w:color w:val="1F3864"/>
                <w:sz w:val="24"/>
                <w:szCs w:val="24"/>
              </w:rPr>
              <w:t xml:space="preserve">OI-10  </w:t>
            </w:r>
            <w:r>
              <w:rPr>
                <w:rFonts w:ascii="Calibri" w:cs="Calibri" w:eastAsia="Calibri" w:hAnsi="Calibri"/>
                <w:b/>
                <w:bCs/>
                <w:color w:val="2E75B6"/>
                <w:sz w:val="24"/>
                <w:szCs w:val="24"/>
              </w:rPr>
              <w:t xml:space="preserve">A2A Exposure — Concrete Trigger Conditions</w:t>
            </w:r>
          </w:p>
          <w:p>
            <w:pPr>
              <w:spacing w:after="60" w:before="0"/>
            </w:pPr>
            <w:r>
              <w:rPr>
                <w:rFonts w:ascii="Calibri" w:cs="Calibri" w:eastAsia="Calibri" w:hAnsi="Calibri"/>
                <w:i/>
                <w:iCs/>
                <w:color w:val="666666"/>
                <w:sz w:val="18"/>
                <w:szCs w:val="18"/>
              </w:rPr>
              <w:t xml:space="preserve">Category: Package 2 — External Interface   ·   Priority: Low (now) / Medium (later)</w:t>
            </w:r>
          </w:p>
          <w:p>
            <w:pPr>
              <w:spacing w:after="40" w:before="40"/>
            </w:pPr>
            <w:r>
              <w:rPr>
                <w:rFonts w:ascii="Calibri" w:cs="Calibri" w:eastAsia="Calibri" w:hAnsi="Calibri"/>
                <w:sz w:val="21"/>
                <w:szCs w:val="21"/>
              </w:rPr>
              <w:t xml:space="preserve">The A2A (Agent-to-Agent) protocol allows DEKE to be discoverable as a peer agent in multi-agent ecosystems, rather than only as an MCP tool called by Claude Code. Package 2's fixed interface contract (AdvisoryRequest/AdvisoryResponse) is designed to be A2A-compatible without structural changes — the addition would be a thin protocol wrapper.
However, A2A was formally deferred with only a vague trigger condition: 'when a second external consumer exists.' This is too imprecise. A2A has real operational overhead: an agent card to maintain, a discovery registration to manage, protocol version compatibility to track, and the A2A spec itself is still maturing.
More precise trigger conditions should be defined:
• A second external consumer (not Claude Code) explicitly wants to call DEKE's advisory endpoint in an automated multi-agent pipeline.
• OR: DEKE needs to discover and call other specialist agents as part of its own advisory pipeline (outbound A2A, not just inbound).
• OR: The A2A spec reaches a stable 1.0 release and operational overhead reduces to acceptable levels.
Until one of these is true, MCP is sufficient and A2A adds overhead without benefit. The architecture is ready for it — the decision is about timing, not design.</w:t>
            </w:r>
          </w:p>
          <w:p>
            <w:pPr>
              <w:spacing w:after="20" w:before="60"/>
            </w:pPr>
            <w:r>
              <w:rPr>
                <w:rFonts w:ascii="Calibri" w:cs="Calibri" w:eastAsia="Calibri" w:hAnsi="Calibri"/>
                <w:b/>
                <w:bCs/>
                <w:color w:val="843C0C"/>
                <w:sz w:val="20"/>
                <w:szCs w:val="20"/>
              </w:rPr>
              <w:t xml:space="preserve">Why deferred:  </w:t>
            </w:r>
            <w:r>
              <w:rPr>
                <w:rFonts w:ascii="Calibri" w:cs="Calibri" w:eastAsia="Calibri" w:hAnsi="Calibri"/>
                <w:i/>
                <w:iCs/>
                <w:color w:val="555555"/>
                <w:sz w:val="20"/>
                <w:szCs w:val="20"/>
              </w:rPr>
              <w:t xml:space="preserve">MCP covers all current consumers. A2A adds operational overhead without a concrete consumer to justify it.</w:t>
            </w:r>
          </w:p>
          <w:p>
            <w:pPr>
              <w:spacing w:after="60" w:before="20"/>
            </w:pPr>
            <w:r>
              <w:rPr>
                <w:rFonts w:ascii="Calibri" w:cs="Calibri" w:eastAsia="Calibri" w:hAnsi="Calibri"/>
                <w:b/>
                <w:bCs/>
                <w:color w:val="375623"/>
                <w:sz w:val="20"/>
                <w:szCs w:val="20"/>
              </w:rPr>
              <w:t xml:space="preserve">Revisit when:  </w:t>
            </w:r>
            <w:r>
              <w:rPr>
                <w:rFonts w:ascii="Calibri" w:cs="Calibri" w:eastAsia="Calibri" w:hAnsi="Calibri"/>
                <w:i/>
                <w:iCs/>
                <w:color w:val="375623"/>
                <w:sz w:val="20"/>
                <w:szCs w:val="20"/>
              </w:rPr>
              <w:t xml:space="preserve">A second external automated consumer requests DEKE integration, or the A2A spec publishes a stable 1.0 release, or DEKE needs to call external specialist agents as part of its own advisory pipeline.</w:t>
            </w:r>
          </w:p>
        </w:tc>
      </w:tr>
    </w:tbl>
    <w:p>
      <w:pPr>
        <w:spacing w:after="0" w:before="200"/>
      </w:pPr>
      <w:r>
        <w:rPr>
          <w:rFonts w:ascii="Calibri" w:cs="Calibri" w:eastAsia="Calibri" w:hAnsi="Calibri"/>
          <w:sz w:val="22"/>
          <w:szCs w:val="22"/>
        </w:rPr>
        <w:t xml:space="preserve"/>
      </w:r>
    </w:p>
    <w:p>
      <w:r>
        <w:br w:type="page"/>
      </w:r>
    </w:p>
    <w:p>
      <w:pPr>
        <w:pStyle w:val="Heading1"/>
        <w:spacing w:after="120" w:before="360"/>
      </w:pPr>
      <w:r>
        <w:rPr>
          <w:rFonts w:ascii="Calibri" w:cs="Calibri" w:eastAsia="Calibri" w:hAnsi="Calibri"/>
          <w:b/>
          <w:bCs/>
          <w:color w:val="1F3864"/>
          <w:sz w:val="32"/>
          <w:szCs w:val="32"/>
        </w:rPr>
        <w:t xml:space="preserve">Review Schedule</w:t>
      </w:r>
    </w:p>
    <w:p>
      <w:pPr>
        <w:spacing w:after="80" w:before="60"/>
      </w:pPr>
      <w:r>
        <w:rPr>
          <w:rFonts w:ascii="Calibri" w:cs="Calibri" w:eastAsia="Calibri" w:hAnsi="Calibri"/>
          <w:sz w:val="22"/>
          <w:szCs w:val="22"/>
        </w:rPr>
        <w:t xml:space="preserve">This document should be reviewed at each major DEKE milestone. At each review, items should be re-prioritised based on what the running system has revealed.</w:t>
      </w:r>
    </w:p>
    <w:p>
      <w:pPr>
        <w:spacing w:after="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Items to Review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After Package 1 Phase 2
(Quality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OI-07 (Version-Aware Contradiction). Review OI-08 (Fact Retirement Policy) — Phase 2 introduces temporal validity and valid_until dates.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After Package 2 Phase 3
(Software Product Advisor activated)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OI-04 (Multi-Turn Continuity) if conversational use has emerged. Review OI-02 (Corpus Seeding) when second domain is being planned.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After Package 3 Phase P3-2
(Prediction Model running)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OI-01 (Curiosity Blockade) once the curiosity loop has run on real data. Review OI-03 (Cross-Domain Transfer) if a second domain is in planning.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After 50+ user interactions
on a single 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OI-06 (Social Proof) — enough volume to form consensus groups. Review OI-05 (Debate-and-Critique) if contested facts are accumulating.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Before any high-stakes domain
is activated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OI-09 (Curator Workflow) — mandatory before legal, medical, or financial domain deployment.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000000"/>
                <w:sz w:val="20"/>
                <w:szCs w:val="20"/>
              </w:rPr>
              <w:t xml:space="preserve">When second external consumer
requests DEKE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Review OI-10 (A2A Trigger Conditions) — the primary trigger has been met.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2026-03-12T22:03:06.690Z</dcterms:created>
  <dcterms:modified xsi:type="dcterms:W3CDTF">2026-03-12T22:03:06.692Z</dcterms:modified>
</cp:coreProperties>
</file>

<file path=docProps/custom.xml><?xml version="1.0" encoding="utf-8"?>
<Properties xmlns="http://schemas.openxmlformats.org/officeDocument/2006/custom-properties" xmlns:vt="http://schemas.openxmlformats.org/officeDocument/2006/docPropsVTypes"/>
</file>