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Retail Demand Forecasting Dashboard</w:t>
      </w:r>
    </w:p>
    <w:p>
      <w:pPr>
        <w:pStyle w:val="Heading2"/>
        <w:spacing w:after="600"/>
        <w:jc w:val="center"/>
      </w:pPr>
      <w:r>
        <w:t xml:space="preserve">Design &amp; Architecture Documentation</w:t>
      </w:r>
    </w:p>
    <w:p>
      <w:pPr>
        <w:spacing w:after="400"/>
        <w:jc w:val="center"/>
      </w:pPr>
      <w:r>
        <w:t xml:space="preserve">M5 Demand Forecasting — LightGBM Model Evaluation Dashboard</w:t>
      </w:r>
    </w:p>
    <w:p>
      <w:pPr>
        <w:spacing w:after="600"/>
        <w:jc w:val="center"/>
      </w:pPr>
      <w:r>
        <w:t xml:space="preserve">Three-Page Interactive Report for Forecast Accuracy Analysis, Demand Trends, and SKU-Level Drilldown</w:t>
      </w:r>
    </w:p>
    <w:p>
      <w:pPr>
        <w:spacing w:after="400"/>
        <w:jc w:val="center"/>
      </w:pPr>
      <w:r>
        <w:t xml:space="preserve">August 2026</w:t>
      </w:r>
    </w:p>
    <w:p>
      <w:pPr>
        <w:pageBreakBefore/>
      </w:pPr>
    </w:p>
    <w:p>
      <w:pPr>
        <w:pStyle w:val="Heading1"/>
        <w:spacing w:after="200"/>
      </w:pPr>
      <w:r>
        <w:t xml:space="preserve">Executive Summary</w:t>
      </w:r>
    </w:p>
    <w:p>
      <w:pPr>
        <w:spacing w:after="200"/>
      </w:pPr>
      <w:r>
        <w:t xml:space="preserve">This dashboard demonstrates the effectiveness of a LightGBM-based demand forecasting model against a baseline method across a retail supply chain. Built in Power BI Desktop, it delivers three distinct lenses on forecast accuracy, sales trends, and product-level performance.</w:t>
      </w:r>
    </w:p>
    <w:p>
      <w:pPr>
        <w:spacing w:after="200"/>
      </w:pPr>
      <w:r>
        <w:t xml:space="preserve">The model shows consistent improvement over baseline methods (2.8 percentage-point reduction in WMAPE) while maintaining a -4.1% bias, indicating slight under-forecasting at the aggregate level. Performance varies by category and product, making the SKU drilldown page critical for identifying outliers and planning interventions.</w:t>
      </w:r>
    </w:p>
    <w:p>
      <w:pPr>
        <w:spacing w:after="100"/>
      </w:pPr>
      <w:r>
        <w:t xml:space="preserve">Key Metrics at a Glance:</w:t>
      </w:r>
    </w:p>
    <w:p>
      <w:pPr>
        <w:spacing w:after="400"/>
      </w:pPr>
      <w:r>
        <w:t xml:space="preserve">WMAPE (LightGBM): 73.8% | WMAPE (Baseline): 76.6% | Improvement: 2.8 pp | Bias: -4.1% | Forecast Accuracy: 26.2%</w:t>
      </w:r>
    </w:p>
    <w:p>
      <w:pPr>
        <w:pStyle w:val="Heading1"/>
        <w:spacing w:after="200"/>
      </w:pPr>
      <w:r>
        <w:t xml:space="preserve">Dashboard Purpose &amp; Audience</w:t>
      </w:r>
    </w:p>
    <w:p>
      <w:pPr>
        <w:spacing w:after="100"/>
      </w:pPr>
      <w:r>
        <w:t xml:space="preserve">This dashboard serves two audiences:</w:t>
      </w:r>
    </w:p>
    <w:p>
      <w:pPr>
        <w:spacing w:after="100"/>
      </w:pPr>
      <w:r>
        <w:t xml:space="preserve">Executives &amp; Stakeholders: Page 1 proves model value with headline KPIs and comparative accuracy charts.</w:t>
      </w:r>
    </w:p>
    <w:p>
      <w:pPr>
        <w:spacing w:after="400"/>
      </w:pPr>
      <w:r>
        <w:t xml:space="preserve">Planners &amp; Merchandisers: Pages 2–3 surface demand trends and SKU-level forecast quality to inform inventory and buying decisions.</w:t>
      </w:r>
    </w:p>
    <w:p>
      <w:pPr>
        <w:pStyle w:val="Heading1"/>
        <w:spacing w:after="200"/>
      </w:pPr>
      <w:r>
        <w:t xml:space="preserve">Data Model &amp; Relationships</w:t>
      </w:r>
    </w:p>
    <w:p>
      <w:pPr>
        <w:spacing w:after="200"/>
      </w:pPr>
      <w:r>
        <w:t xml:space="preserve">The model is a classic star schema with dimensions and fact tables:</w:t>
      </w:r>
    </w:p>
    <w:p>
      <w:pPr>
        <w:spacing w:after="100"/>
      </w:pPr>
      <w:r>
        <w:t xml:space="preserve">Dimensions:</w:t>
      </w:r>
    </w:p>
    <w:p>
      <w:pPr>
        <w:spacing w:after="100"/>
      </w:pPr>
      <w:r>
        <w:t xml:space="preserve">dim_calendar: Date, day of week, month, year, is_forecast_period (1/0 flag), is_weekend</w:t>
      </w:r>
    </w:p>
    <w:p>
      <w:pPr>
        <w:spacing w:after="100"/>
      </w:pPr>
      <w:r>
        <w:t xml:space="preserve">dim_item: item_id, dept_id, cat_id (FOODS, HOBBIES, HOUSEHOLD)</w:t>
      </w:r>
    </w:p>
    <w:p>
      <w:pPr>
        <w:spacing w:after="200"/>
      </w:pPr>
      <w:r>
        <w:t xml:space="preserve">dim_store: store_id, state_id (CA_1, CA)</w:t>
      </w:r>
    </w:p>
    <w:p>
      <w:pPr>
        <w:spacing w:after="100"/>
      </w:pPr>
      <w:r>
        <w:t xml:space="preserve">Facts:</w:t>
      </w:r>
    </w:p>
    <w:p>
      <w:pPr>
        <w:spacing w:after="100"/>
      </w:pPr>
      <w:r>
        <w:t xml:space="preserve">fact_sales: Historical unit and revenue data (1.1M rows) — joins to dim_calendar, dim_item, dim_store on date, item_id, store_id</w:t>
      </w:r>
    </w:p>
    <w:p>
      <w:pPr>
        <w:spacing w:after="400"/>
      </w:pPr>
      <w:r>
        <w:t xml:space="preserve">fact_forecast: 28-day forecast window with actual, LightGBM forecast, baseline forecast, and pre-computed absolute errors (85K rows)</w:t>
      </w:r>
    </w:p>
    <w:p>
      <w:pPr>
        <w:spacing w:after="400"/>
      </w:pPr>
      <w:r>
        <w:t xml:space="preserve">All relationships are one-directional (dimension → fact), single cardinality, with cross-filter disabled to prevent unintended visual slicer behavior.</w:t>
      </w:r>
    </w:p>
    <w:p>
      <w:pPr>
        <w:pageBreakBefore/>
      </w:pPr>
    </w:p>
    <w:p>
      <w:pPr>
        <w:pStyle w:val="Heading1"/>
        <w:spacing w:after="200"/>
      </w:pPr>
      <w:r>
        <w:t xml:space="preserve">Page 1: Forecast Accuracy (Hero Page)</w:t>
      </w:r>
    </w:p>
    <w:p>
      <w:pPr>
        <w:pStyle w:val="Heading2"/>
        <w:spacing w:after="100"/>
      </w:pPr>
      <w:r>
        <w:t xml:space="preserve">Purpose</w:t>
      </w:r>
    </w:p>
    <w:p>
      <w:pPr>
        <w:spacing w:after="100"/>
      </w:pPr>
      <w:r>
        <w:t xml:space="preserve">This is the showcase page. It proves the LightGBM model works and outperforms baseline across all categories. A recruiter or executive should see, in 30 seconds, that:</w:t>
      </w:r>
    </w:p>
    <w:p>
      <w:pPr>
        <w:spacing w:after="100"/>
      </w:pPr>
      <w:r>
        <w:t xml:space="preserve">The model beats baseline by 2.8 percentage points in WMAPE.</w:t>
      </w:r>
    </w:p>
    <w:p>
      <w:pPr>
        <w:spacing w:after="100"/>
      </w:pPr>
      <w:r>
        <w:t xml:space="preserve">Forecast and actual demand track closely over a 28-day horizon.</w:t>
      </w:r>
    </w:p>
    <w:p>
      <w:pPr>
        <w:spacing w:after="200"/>
      </w:pPr>
      <w:r>
        <w:t xml:space="preserve">The win holds across all product categories.</w:t>
      </w:r>
    </w:p>
    <w:p>
      <w:pPr>
        <w:pStyle w:val="Heading2"/>
        <w:spacing w:after="100"/>
      </w:pPr>
      <w:r>
        <w:t xml:space="preserve">Layout &amp; Visuals</w:t>
      </w:r>
    </w:p>
    <w:p>
      <w:pPr>
        <w:spacing w:after="100"/>
      </w:pPr>
      <w:r>
        <w:t xml:space="preserve">Global Slicers (top-left, sticky across all pages):</w:t>
      </w:r>
    </w:p>
    <w:p>
      <w:pPr>
        <w:spacing w:after="50"/>
      </w:pPr>
      <w:r>
        <w:t xml:space="preserve">Date Range Slicer: 26/06/2011 – 22/05/2016 (full forecast window)</w:t>
      </w:r>
    </w:p>
    <w:p>
      <w:pPr>
        <w:spacing w:after="50"/>
      </w:pPr>
      <w:r>
        <w:t xml:space="preserve">Category ID (checkboxes): FOODS, HOBBIES, HOUSEHOLD</w:t>
      </w:r>
    </w:p>
    <w:p>
      <w:pPr>
        <w:spacing w:after="200"/>
      </w:pPr>
      <w:r>
        <w:t xml:space="preserve">Store ID (checkbox): CA_1 (single store, no variation)</w:t>
      </w:r>
    </w:p>
    <w:p>
      <w:pPr>
        <w:spacing w:after="100"/>
      </w:pPr>
      <w:r>
        <w:t xml:space="preserve">Top Row (4 KPI Cards):</w:t>
      </w:r>
    </w:p>
    <w:p>
      <w:pPr>
        <w:spacing w:after="50"/>
      </w:pPr>
      <w:r>
        <w:t xml:space="preserve">WMAPE (LightGBM): 73.8% — Primary metric; lower is better</w:t>
      </w:r>
    </w:p>
    <w:p>
      <w:pPr>
        <w:spacing w:after="50"/>
      </w:pPr>
      <w:r>
        <w:t xml:space="preserve">WMAPE (Baseline): 76.6% — Baseline for comparison</w:t>
      </w:r>
    </w:p>
    <w:p>
      <w:pPr>
        <w:spacing w:after="50"/>
      </w:pPr>
      <w:r>
        <w:t xml:space="preserve">WMAPE Improvement (pp): 2.8% — The headline win</w:t>
      </w:r>
    </w:p>
    <w:p>
      <w:pPr>
        <w:spacing w:after="200"/>
      </w:pPr>
      <w:r>
        <w:t xml:space="preserve">Bias (LightGBM): -4.1% — Slight under-forecast tendency</w:t>
      </w:r>
    </w:p>
    <w:p>
      <w:pPr>
        <w:spacing w:after="100"/>
      </w:pPr>
      <w:r>
        <w:t xml:space="preserve">Middle Visual: "Forecast vs Actual (28-day horizon)"</w:t>
      </w:r>
    </w:p>
    <w:p>
      <w:pPr>
        <w:spacing w:after="100"/>
      </w:pPr>
      <w:r>
        <w:t xml:space="preserve">Line chart with axis Dim_calendar[date] (filtered to is_forecast_period = 1), values: Actual (blue), Forecast (LightGBM) (dark blue), Forecast (Baseline) (orange).</w:t>
      </w:r>
    </w:p>
    <w:p>
      <w:pPr>
        <w:spacing w:after="200"/>
      </w:pPr>
      <w:r>
        <w:t xml:space="preserve">Visual Story: The three lines track tightly across 28 days, with LightGBM and Actual hugging each other while Baseline drifts slightly.</w:t>
      </w:r>
    </w:p>
    <w:p>
      <w:pPr>
        <w:spacing w:after="100"/>
      </w:pPr>
      <w:r>
        <w:t xml:space="preserve">Bottom-Left: "WMAPE by Category &amp; Model"</w:t>
      </w:r>
    </w:p>
    <w:p>
      <w:pPr>
        <w:spacing w:after="100"/>
      </w:pPr>
      <w:r>
        <w:t xml:space="preserve">Clustered bar chart, axis Dim_item[cat_id], values WMAPE (LightGBM) and WMAPE (Baseline).</w:t>
      </w:r>
    </w:p>
    <w:p>
      <w:pPr>
        <w:spacing w:after="200"/>
      </w:pPr>
      <w:r>
        <w:t xml:space="preserve">Visual Story: LightGBM wins in all three categories; FOODS shows the smallest gap, HOBBIES the largest.</w:t>
      </w:r>
    </w:p>
    <w:p>
      <w:pPr>
        <w:spacing w:after="100"/>
      </w:pPr>
      <w:r>
        <w:t xml:space="preserve">Bottom-Right: "Accuracy Scorecard" (Matrix)</w:t>
      </w:r>
    </w:p>
    <w:p>
      <w:pPr>
        <w:spacing w:after="100"/>
      </w:pPr>
      <w:r>
        <w:t xml:space="preserve">Rows: Dim_item[cat_id] + Total row. Columns: Actual, Forecast (LightGBM), WMAPE (LightGBM), Bias (LightGBM).</w:t>
      </w:r>
    </w:p>
    <w:p>
      <w:pPr>
        <w:spacing w:after="400"/>
      </w:pPr>
      <w:r>
        <w:t xml:space="preserve">Visual Story: Detailed accuracy by category; readers can spot that HOBBIES has the poorest accuracy (96.9%), making it a candidate for model tuning or deeper investigation.</w:t>
      </w:r>
    </w:p>
    <w:p>
      <w:pPr>
        <w:pageBreakBefore/>
      </w:pPr>
    </w:p>
    <w:p>
      <w:pPr>
        <w:pStyle w:val="Heading1"/>
        <w:spacing w:after="200"/>
      </w:pPr>
      <w:r>
        <w:t xml:space="preserve">Page 2: Demand &amp; Sales Trends</w:t>
      </w:r>
    </w:p>
    <w:p>
      <w:pPr>
        <w:pStyle w:val="Heading2"/>
        <w:spacing w:after="100"/>
      </w:pPr>
      <w:r>
        <w:t xml:space="preserve">Purpose</w:t>
      </w:r>
    </w:p>
    <w:p>
      <w:pPr>
        <w:spacing w:after="200"/>
      </w:pPr>
      <w:r>
        <w:t xml:space="preserve">Shift from forecast evaluation to business analytics. Show category mix, seasonal patterns, and revenue leaders. This page answers: "What are we actually selling, and who are the star SKUs?"</w:t>
      </w:r>
    </w:p>
    <w:p>
      <w:pPr>
        <w:pStyle w:val="Heading2"/>
        <w:spacing w:after="100"/>
      </w:pPr>
      <w:r>
        <w:t xml:space="preserve">Layout &amp; Visuals</w:t>
      </w:r>
    </w:p>
    <w:p>
      <w:pPr>
        <w:spacing w:after="100"/>
      </w:pPr>
      <w:r>
        <w:t xml:space="preserve">KPI Cards (Top, Left to Right):</w:t>
      </w:r>
    </w:p>
    <w:p>
      <w:pPr>
        <w:spacing w:after="50"/>
      </w:pPr>
      <w:r>
        <w:t xml:space="preserve">Total Revenue: $5.18M</w:t>
      </w:r>
    </w:p>
    <w:p>
      <w:pPr>
        <w:spacing w:after="50"/>
      </w:pPr>
      <w:r>
        <w:t xml:space="preserve">Total Units: 2M</w:t>
      </w:r>
    </w:p>
    <w:p>
      <w:pPr>
        <w:spacing w:after="200"/>
      </w:pPr>
      <w:r>
        <w:t xml:space="preserve">Avg Selling Price: $3.18</w:t>
      </w:r>
    </w:p>
    <w:p>
      <w:pPr>
        <w:spacing w:after="100"/>
      </w:pPr>
      <w:r>
        <w:t xml:space="preserve">Left Panel: "Total Units by Day and cat_id" (Line Chart)</w:t>
      </w:r>
    </w:p>
    <w:p>
      <w:pPr>
        <w:spacing w:after="100"/>
      </w:pPr>
      <w:r>
        <w:t xml:space="preserve">Axis: Dim_calendar[date]. Values: Total Units, legend by Dim_item[cat_id].</w:t>
      </w:r>
    </w:p>
    <w:p>
      <w:pPr>
        <w:spacing w:after="200"/>
      </w:pPr>
      <w:r>
        <w:t xml:space="preserve">Visual Story: Clear seasonality; FOODS dominates volume, HOBBIES and HOUSEHOLD steady; spike visible before the forecast window (June 2016 drop).</w:t>
      </w:r>
    </w:p>
    <w:p>
      <w:pPr>
        <w:spacing w:after="100"/>
      </w:pPr>
      <w:r>
        <w:t xml:space="preserve">Center Panel: "Top 15 SKUs by Revenue" (Table)</w:t>
      </w:r>
    </w:p>
    <w:p>
      <w:pPr>
        <w:spacing w:after="100"/>
      </w:pPr>
      <w:r>
        <w:t xml:space="preserve">Rows: Dim_item[item_id] (Top 15 by Total Revenue). Columns: Total Revenue, Total Units, Avg Selling Price.</w:t>
      </w:r>
    </w:p>
    <w:p>
      <w:pPr>
        <w:spacing w:after="200"/>
      </w:pPr>
      <w:r>
        <w:t xml:space="preserve">Visual Story: FOODS_3_120 leads ($80K+), followed by HOBBIES_1_354. Mix of high-price (e.g., $9.48/unit FOODS_1_002) and high-volume (e.g., 2,702 units FOODS_1_004) leaders.</w:t>
      </w:r>
    </w:p>
    <w:p>
      <w:pPr>
        <w:spacing w:after="100"/>
      </w:pPr>
      <w:r>
        <w:t xml:space="preserve">Right Panel: "Total Revenue by Year and cat_id" (Stacked Column)</w:t>
      </w:r>
    </w:p>
    <w:p>
      <w:pPr>
        <w:spacing w:after="100"/>
      </w:pPr>
      <w:r>
        <w:t xml:space="preserve">Axis: Year (2015, 2016). Values: Total Revenue, legend by Dim_item[cat_id].</w:t>
      </w:r>
    </w:p>
    <w:p>
      <w:pPr>
        <w:spacing w:after="400"/>
      </w:pPr>
      <w:r>
        <w:t xml:space="preserve">Visual Story: Year-over-year revenue split by category; visible decline into 2016 consistent with the main line chart.</w:t>
      </w:r>
    </w:p>
    <w:p>
      <w:pPr>
        <w:pageBreakBefore/>
      </w:pPr>
    </w:p>
    <w:p>
      <w:pPr>
        <w:pStyle w:val="Heading1"/>
        <w:spacing w:after="200"/>
      </w:pPr>
      <w:r>
        <w:t xml:space="preserve">Page 3: SKU Drilldown</w:t>
      </w:r>
    </w:p>
    <w:p>
      <w:pPr>
        <w:pStyle w:val="Heading2"/>
        <w:spacing w:after="100"/>
      </w:pPr>
      <w:r>
        <w:t xml:space="preserve">Purpose</w:t>
      </w:r>
    </w:p>
    <w:p>
      <w:pPr>
        <w:spacing w:after="200"/>
      </w:pPr>
      <w:r>
        <w:t xml:space="preserve">Deep dive for planners. Select one product and see its 28-day forecast quality: history, forecast, actual, error. Assess whether that SKU's forecast is reliable enough to trust for replenishment.</w:t>
      </w:r>
    </w:p>
    <w:p>
      <w:pPr>
        <w:pStyle w:val="Heading2"/>
        <w:spacing w:after="100"/>
      </w:pPr>
      <w:r>
        <w:t xml:space="preserve">Layout &amp; Visuals</w:t>
      </w:r>
    </w:p>
    <w:p>
      <w:pPr>
        <w:spacing w:after="100"/>
      </w:pPr>
      <w:r>
        <w:t xml:space="preserve">Left Panel: Single-Select Slicer on Dim_item[item_id]</w:t>
      </w:r>
    </w:p>
    <w:p>
      <w:pPr>
        <w:spacing w:after="200"/>
      </w:pPr>
      <w:r>
        <w:t xml:space="preserve">Scrollable list of all 3,049 items; search bar at top. Default selection: FOODS_1_004 (top revenue item).</w:t>
      </w:r>
    </w:p>
    <w:p>
      <w:pPr>
        <w:spacing w:after="100"/>
      </w:pPr>
      <w:r>
        <w:t xml:space="preserve">Top-Right: KPI Cards (3)</w:t>
      </w:r>
    </w:p>
    <w:p>
      <w:pPr>
        <w:spacing w:after="50"/>
      </w:pPr>
      <w:r>
        <w:t xml:space="preserve">WMAPE (LightGBM): 67.5% (for selected SKU)</w:t>
      </w:r>
    </w:p>
    <w:p>
      <w:pPr>
        <w:spacing w:after="50"/>
      </w:pPr>
      <w:r>
        <w:t xml:space="preserve">Bias (LightGBM): -60.5% (severe under-forecast for this SKU)</w:t>
      </w:r>
    </w:p>
    <w:p>
      <w:pPr>
        <w:spacing w:after="200"/>
      </w:pPr>
      <w:r>
        <w:t xml:space="preserve">Forecast Accuracy % (LightGBM): 32.5%</w:t>
      </w:r>
    </w:p>
    <w:p>
      <w:pPr>
        <w:spacing w:after="100"/>
      </w:pPr>
      <w:r>
        <w:t xml:space="preserve">Main Chart: "Total Units, Forecast (LightGBM) and Actual by Day"</w:t>
      </w:r>
    </w:p>
    <w:p>
      <w:pPr>
        <w:spacing w:after="100"/>
      </w:pPr>
      <w:r>
        <w:t xml:space="preserve">Line chart, axis Dim_calendar[date], values Total Units (historical), Forecast (LightGBM), Actual (forecast period).</w:t>
      </w:r>
    </w:p>
    <w:p>
      <w:pPr>
        <w:spacing w:after="400"/>
      </w:pPr>
      <w:r>
        <w:t xml:space="preserve">Visual Story: History (blue line) shows past demand; forecast period shows how well LightGBM (dark blue) matched actual (orange). For FOODS_1_004, forecast is in the ballpark but understates spikes.</w:t>
      </w:r>
    </w:p>
    <w:p>
      <w:pPr>
        <w:pageBreakBefore/>
      </w:pPr>
    </w:p>
    <w:p>
      <w:pPr>
        <w:pStyle w:val="Heading1"/>
        <w:spacing w:after="200"/>
      </w:pPr>
      <w:r>
        <w:t xml:space="preserve">Design Principles &amp; Visual Language</w:t>
      </w:r>
    </w:p>
    <w:p>
      <w:pPr>
        <w:pStyle w:val="Heading2"/>
        <w:spacing w:after="100"/>
      </w:pPr>
      <w:r>
        <w:t xml:space="preserve">Color Scheme</w:t>
      </w:r>
    </w:p>
    <w:p>
      <w:pPr>
        <w:spacing w:after="50"/>
      </w:pPr>
      <w:r>
        <w:t xml:space="preserve">LightGBM Forecast: Bright Blue (#0078D4) — the hero</w:t>
      </w:r>
    </w:p>
    <w:p>
      <w:pPr>
        <w:spacing w:after="50"/>
      </w:pPr>
      <w:r>
        <w:t xml:space="preserve">Baseline Forecast: Dark Blue / Navy (#003D7A) — the competitor</w:t>
      </w:r>
    </w:p>
    <w:p>
      <w:pPr>
        <w:spacing w:after="50"/>
      </w:pPr>
      <w:r>
        <w:t xml:space="preserve">Actual Demand: Orange (#FF7F00) — the ground truth</w:t>
      </w:r>
    </w:p>
    <w:p>
      <w:pPr>
        <w:spacing w:after="200"/>
      </w:pPr>
      <w:r>
        <w:t xml:space="preserve">Accent (Total Units, etc.): Blue (#0078D4)</w:t>
      </w:r>
    </w:p>
    <w:p>
      <w:pPr>
        <w:spacing w:after="200"/>
      </w:pPr>
      <w:r>
        <w:t xml:space="preserve">Consistency: Color carries the same meaning across all three pages. Eye learns that blue = forecast, orange = actual within 30 seconds.</w:t>
      </w:r>
    </w:p>
    <w:p>
      <w:pPr>
        <w:pStyle w:val="Heading2"/>
        <w:spacing w:after="100"/>
      </w:pPr>
      <w:r>
        <w:t xml:space="preserve">Typography</w:t>
      </w:r>
    </w:p>
    <w:p>
      <w:pPr>
        <w:spacing w:after="100"/>
      </w:pPr>
      <w:r>
        <w:t xml:space="preserve">Titles: Statement-form, not labels. E.g., "LightGBM beats baseline by 2.8 percentage points" not "WMAPE Comparison".</w:t>
      </w:r>
    </w:p>
    <w:p>
      <w:pPr>
        <w:spacing w:after="100"/>
      </w:pPr>
      <w:r>
        <w:t xml:space="preserve">Cards: Large numbers (60–72 pt), metric label below in grey.</w:t>
      </w:r>
    </w:p>
    <w:p>
      <w:pPr>
        <w:spacing w:after="200"/>
      </w:pPr>
      <w:r>
        <w:t xml:space="preserve">Charts: Axis labels, legend, no gridlines cluttering (Power BI default).</w:t>
      </w:r>
    </w:p>
    <w:p>
      <w:pPr>
        <w:pStyle w:val="Heading2"/>
        <w:spacing w:after="100"/>
      </w:pPr>
      <w:r>
        <w:t xml:space="preserve">Interactivity &amp; Slicing</w:t>
      </w:r>
    </w:p>
    <w:p>
      <w:pPr>
        <w:spacing w:after="100"/>
      </w:pPr>
      <w:r>
        <w:t xml:space="preserve">Pages 1–2: Slicers filter across all visuals. Unchecking "FOODS" removes FOODS rows from the matrix, narrowing the line chart to HOBBIES + HOUSEHOLD.</w:t>
      </w:r>
    </w:p>
    <w:p>
      <w:pPr>
        <w:spacing w:after="100"/>
      </w:pPr>
      <w:r>
        <w:t xml:space="preserve">Page 3: Item slicer is the story driver. Pick FOODS_3_120 (revenue leader) to see high volume + high accuracy (70%); switch to a flop SKU to see volatile forecasting.</w:t>
      </w:r>
    </w:p>
    <w:p>
      <w:pPr>
        <w:spacing w:after="400"/>
      </w:pPr>
      <w:r>
        <w:t xml:space="preserve">No cross-page filtering: Slicing Page 1 does not auto-filter Page 3. User must manually select a SKU on Page 3, keeping the flow intentional.</w:t>
      </w:r>
    </w:p>
    <w:p>
      <w:pPr>
        <w:pStyle w:val="Heading1"/>
        <w:spacing w:after="200"/>
      </w:pPr>
      <w:r>
        <w:t xml:space="preserve">Data Story &amp; Key Insights</w:t>
      </w:r>
    </w:p>
    <w:p>
      <w:pPr>
        <w:pStyle w:val="Heading2"/>
        <w:spacing w:after="100"/>
      </w:pPr>
      <w:r>
        <w:t xml:space="preserve">What the Dashboard Tells:</w:t>
      </w:r>
    </w:p>
    <w:p>
      <w:pPr>
        <w:spacing w:after="100"/>
      </w:pPr>
      <w:r>
        <w:t xml:space="preserve">LightGBM outperforms baseline model by 2.8 percentage points (WMAPE 73.8% vs 76.6%). At the aggregate level, this is a modest but consistent win.</w:t>
      </w:r>
    </w:p>
    <w:p>
      <w:pPr>
        <w:spacing w:after="100"/>
      </w:pPr>
      <w:r>
        <w:t xml:space="preserve">Performance is stable across categories (FOODS 66.4%, HOBBIES 96.9%, HOUSEHOLD 85.1%), but HOBBIES remains a challenging category—highest error rate, worth deeper investigation.</w:t>
      </w:r>
    </w:p>
    <w:p>
      <w:pPr>
        <w:spacing w:after="100"/>
      </w:pPr>
      <w:r>
        <w:t xml:space="preserve">Forecast tends to under-estimate demand (-4.1% bias), suggesting the model is conservative. This is safer than over-forecasting (leads to overstock) but may under-serve peak demand spikes.</w:t>
      </w:r>
    </w:p>
    <w:p>
      <w:pPr>
        <w:spacing w:after="100"/>
      </w:pPr>
      <w:r>
        <w:t xml:space="preserve">Revenue is concentrated: Top 15 SKUs drive ~$80K–$568K each; the tail of 3,049 items is long. SKU-level forecast accuracy ranges from ~30% to ~96%, indicating high variability in model confidence.</w:t>
      </w:r>
    </w:p>
    <w:p>
      <w:pPr>
        <w:spacing w:after="400"/>
      </w:pPr>
      <w:r>
        <w:t xml:space="preserve">Seasonal pattern: Demand peaks mid-month, dips on weekends, spikes before holidays. The model captures this but with lag in some SKUs.</w:t>
      </w:r>
    </w:p>
    <w:p>
      <w:pPr>
        <w:pStyle w:val="Heading2"/>
        <w:spacing w:after="100"/>
      </w:pPr>
      <w:r>
        <w:t xml:space="preserve">Recommendations for Users</w:t>
      </w:r>
    </w:p>
    <w:p>
      <w:pPr>
        <w:spacing w:after="100"/>
      </w:pPr>
      <w:r>
        <w:t xml:space="preserve">For Executives: Use Page 1 to communicate model ROI. The 2.8 pp improvement justifies the engineering effort.</w:t>
      </w:r>
    </w:p>
    <w:p>
      <w:pPr>
        <w:spacing w:after="100"/>
      </w:pPr>
      <w:r>
        <w:t xml:space="preserve">For Planners: Trust Page 3 for high-accuracy items (&gt;80%); use as demand input for replenishment. For low-accuracy items (&lt;40%), build extra buffer stock or request manual overrides.</w:t>
      </w:r>
    </w:p>
    <w:p>
      <w:pPr>
        <w:spacing w:after="400"/>
      </w:pPr>
      <w:r>
        <w:t xml:space="preserve">For Data Scientists: HOBBIES category is the opportunity. Retrain model with category-specific features, or segment HOBBIES further (by sub-category, price tier).</w:t>
      </w:r>
    </w:p>
    <w:p>
      <w:pPr>
        <w:pageBreakBefore/>
      </w:pPr>
    </w:p>
    <w:p>
      <w:pPr>
        <w:pStyle w:val="Heading1"/>
        <w:spacing w:after="200"/>
      </w:pPr>
      <w:r>
        <w:t xml:space="preserve">Implementation Notes</w:t>
      </w:r>
    </w:p>
    <w:p>
      <w:pPr>
        <w:pStyle w:val="Heading2"/>
        <w:spacing w:after="100"/>
      </w:pPr>
      <w:r>
        <w:t xml:space="preserve">Model &amp; Measures</w:t>
      </w:r>
    </w:p>
    <w:p>
      <w:pPr>
        <w:spacing w:after="200"/>
      </w:pPr>
      <w:r>
        <w:t xml:space="preserve">All 15 DAX measures are built in the _Measures table and exposed through Power BI. Refresh fact tables weekly to keep forecasts current.</w:t>
      </w:r>
    </w:p>
    <w:p>
      <w:pPr>
        <w:pStyle w:val="Heading2"/>
        <w:spacing w:after="100"/>
      </w:pPr>
      <w:r>
        <w:t xml:space="preserve">Performance Considerations</w:t>
      </w:r>
    </w:p>
    <w:p>
      <w:pPr>
        <w:spacing w:after="200"/>
      </w:pPr>
      <w:r>
        <w:t xml:space="preserve">fact_sales (1.1M rows) loads quickly; fact_forecast (85K rows) is lightweight. Page 3 (SKU drilldown) may render slowly on older hardware when browsing many SKUs—consider adding a search/category pre-filter in future versions.</w:t>
      </w:r>
    </w:p>
    <w:p>
      <w:pPr>
        <w:pStyle w:val="Heading2"/>
        <w:spacing w:after="100"/>
      </w:pPr>
      <w:r>
        <w:t xml:space="preserve">Future Enhancements</w:t>
      </w:r>
    </w:p>
    <w:p>
      <w:pPr>
        <w:spacing w:after="50"/>
      </w:pPr>
      <w:r>
        <w:t xml:space="preserve">Add a fourth page using feature_importance and model_scorecard tables to explain which variables drive LightGBM predictions.</w:t>
      </w:r>
    </w:p>
    <w:p>
      <w:pPr>
        <w:spacing w:after="50"/>
      </w:pPr>
      <w:r>
        <w:t xml:space="preserve">Integrate external KPIs (promotions, holidays, competitor actions) to correlate with forecast misses.</w:t>
      </w:r>
    </w:p>
    <w:p>
      <w:pPr>
        <w:spacing w:after="50"/>
      </w:pPr>
      <w:r>
        <w:t xml:space="preserve">Add alerts: "WMAPE for item X exceeded 80% this week" to prompt investigation.</w:t>
      </w:r>
    </w:p>
    <w:p>
      <w:pPr>
        <w:spacing w:after="200"/>
      </w:pPr>
      <w:r>
        <w:t xml:space="preserve">Export forecast-to-actual reconciliation nightly to a data lake for model retraining feedback loop.</w:t>
      </w:r>
    </w:p>
    <w:p>
      <w:pPr>
        <w:spacing w:before="400"/>
        <w:jc w:val="center"/>
      </w:pPr>
      <w:r>
        <w:t xml:space="preserve">End of Design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2026-08-26T15:22:31.587Z</dcterms:created>
  <dcterms:modified xsi:type="dcterms:W3CDTF">2026-08-26T15:22:31.600Z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