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uqv9p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h8f2m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 xml:space="preserve">e-Financeira (KAPITAL · ATHENA-NDF · ATHENA-FXO · PYRAMID) *(em construção)*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har6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ly9a3w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lyeb9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kaesfh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747bc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mnyou1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3twr_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_6jye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bpyolm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zarl9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341kv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0keox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qhu4qr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k_sa8x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0tiz0x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zej61v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6u6b4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vyqra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nohdti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clx0rp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sjmu7m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5puq7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53f_xx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rhn3o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0zavbu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4tbb0y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ppkmz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f6qpof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rfq7ib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8wmiv2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1ovsl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lf01j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3ky9j5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9cpnju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sq3vln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fdhu27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l6_15h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3nm_e_m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kp38zh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vq3_qv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gg9pr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p4urw2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9pkfbi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1wdgah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f8w0sp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7p1mblv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d7nfa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ukf7h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f_m303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uwxvva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zm4g9ri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o7n7cj7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71zp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19pfdxw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j987mi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bsz_noj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as liquidações em que o </w:t>
      </w:r>
      <w:r>
        <w:rPr>
          <w:b/>
        </w:rPr>
        <w:t>banco paga</w:t>
      </w:r>
      <w:r>
        <w:t xml:space="preserve"> (a contraparte recebe e o imposto incide), do </w:t>
      </w:r>
      <w:r>
        <w:rPr>
          <w:b/>
        </w:rPr>
        <w:t>NDF Summary</w:t>
      </w:r>
      <w:r>
        <w:t xml:space="preserve"> (termo de moeda e as recompras) e do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 xml:space="preserve"> (o decêndio dela abre; sem data, abre o decêndio do dia útil anterior).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 xml:space="preserve"> —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(*Trade Date*, *Gross Value*, *Tax*,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05m1mf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aefk0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lk3bc_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19gtr_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oz4hw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k5tht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dex79vb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x4oxjj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har6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o0_5xdy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rjqm1b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k52__8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w4l3vq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4uqv9p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atisni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a50qhpc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45v_sj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na6m2j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ucchb1b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