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c8z9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640qf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e-Financeira</w:t>
            </w:r>
            <w:r>
              <w:t xml:space="preserve"> (KAPITAL · ATHENA-NDF · ATHENA-FXO · PYRAMID)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ibg9d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2akw2j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kr78bg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hhzxkv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6jct4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63nng1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p9fgmj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ev_6j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xky4pu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qvk40q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kwps8b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x7uhd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k5xr31_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twsggb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p7c1gn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fqg6bh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6ni3eb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esw5no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wscffa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1t7wg4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joingc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_2_w5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9o_0a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ii_3fp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l41e9y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3tdl97z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pnrdzs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fk6swq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ov0ev_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m_n9c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wn4r4k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cl5fhdq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pq815u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_thg3d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wj0fjd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_0wi0x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eaq3bz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icec0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n2gzxd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g268z0b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9ledea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dj7dnq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622ty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gyh2ew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ca9aaq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jogx8j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xo60wg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nsutx3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9vxyny5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y0r__0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lqlvq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g7mzk4n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f0u8al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8vo8_a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11pem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a3mqtdk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1o9kq8p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3"/>
      </w:pPr>
      <w:r>
        <w:rPr>
          <w:sz w:val="25"/>
        </w:rPr>
        <w:t>12.2. E-Financeira — o arquivo mensal, por conta</w:t>
      </w:r>
    </w:p>
    <w:p>
      <w:r>
        <w:rPr>
          <w:b/>
        </w:rPr>
        <w:t>Menu › REGULATORY › e-Financeira › KAPITAL · ATHENA-NDF · ATHENA-FXO · PYRAMID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mwk9__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montar e gerar o arquivo mensal da e-Financeira. São </w:t>
      </w:r>
      <w:r>
        <w:rPr>
          <w:b/>
        </w:rPr>
        <w:t>quatro páginas, uma por sistema de origem</w:t>
      </w:r>
      <w:r>
        <w:t>, cada uma com as suas operações e o seu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Produtos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Arquivo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KAPITAL</w:t>
            </w:r>
          </w:p>
        </w:tc>
        <w:tc>
          <w:tcPr>
            <w:tcW w:type="dxa" w:w="3312"/>
          </w:tcPr>
          <w:p>
            <w:r>
              <w:t>Swap CEM e CEMHYB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KAPITAL_SWAP_EFINAN_AAAAMM.csv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ATHENA-NDF</w:t>
            </w:r>
          </w:p>
        </w:tc>
        <w:tc>
          <w:tcPr>
            <w:tcW w:type="dxa" w:w="3312"/>
          </w:tcPr>
          <w:p>
            <w:r>
              <w:t>NDF de moeda e NDF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ATHENA_NDF_EFINAN_AAAAMM.csv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ATHENA-FXO</w:t>
            </w:r>
          </w:p>
        </w:tc>
        <w:tc>
          <w:tcPr>
            <w:tcW w:type="dxa" w:w="3312"/>
          </w:tcPr>
          <w:p>
            <w:r>
              <w:t>Opção de moeda e opção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ATHENA_FXO_EFINAN_AAAAMM.csv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PYRAMID</w:t>
            </w:r>
          </w:p>
        </w:tc>
        <w:tc>
          <w:tcPr>
            <w:tcW w:type="dxa" w:w="3312"/>
          </w:tcPr>
          <w:p>
            <w:r>
              <w:t>Tudo da EDG (opção, NDF e swap)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PYRAMID_AAAAMM.csv</w:t>
            </w:r>
          </w:p>
        </w:tc>
      </w:tr>
    </w:tbl>
    <w:p/>
    <w:p>
      <w:r>
        <w:t xml:space="preserve">Cada linha é </w:t>
      </w:r>
      <w:r>
        <w:rPr>
          <w:b/>
        </w:rPr>
        <w:t>uma operação</w:t>
      </w:r>
      <w:r>
        <w:t xml:space="preserve"> — a conta da e-Financeira é o </w:t>
      </w:r>
      <w:r>
        <w:rPr>
          <w:b/>
        </w:rPr>
        <w:t>B3 ID</w:t>
      </w:r>
      <w:r>
        <w:t xml:space="preserve"> — com o que ela movimentou no mês.</w:t>
      </w:r>
    </w:p>
    <w:p>
      <w:r>
        <w:rPr>
          <w:b/>
        </w:rPr>
        <w:t>De onde vêm as linhas:</w:t>
      </w:r>
      <w:r>
        <w:t xml:space="preserve"> o botão </w:t>
      </w:r>
      <w:r>
        <w:rPr>
          <w:b/>
        </w:rPr>
        <w:t>Import Settlements</w:t>
      </w:r>
      <w:r>
        <w:t xml:space="preserve"> lê, em cada dia útil do mês, o que o </w:t>
      </w:r>
      <w:r>
        <w:rPr>
          <w:b/>
        </w:rPr>
        <w:t>NDF Summary</w:t>
      </w:r>
      <w:r>
        <w:t xml:space="preserve"> e o </w:t>
      </w:r>
      <w:r>
        <w:rPr>
          <w:b/>
        </w:rPr>
        <w:t>Other Products</w:t>
      </w:r>
      <w:r>
        <w:t xml:space="preserve"> liquidaram, e as </w:t>
      </w:r>
      <w:r>
        <w:rPr>
          <w:b/>
        </w:rPr>
        <w:t>opções que venceram</w:t>
      </w:r>
      <w:r>
        <w:t xml:space="preserve"> naquele dia na posição — a opção que vence sem pagamento não aparece em tela de liquidação nenhuma, e é ela que leva o Saldo do prêmio recebido. Um clique alimenta as </w:t>
      </w:r>
      <w:r>
        <w:rPr>
          <w:b/>
        </w:rPr>
        <w:t>quatro páginas</w:t>
      </w:r>
      <w:r>
        <w:t xml:space="preserve"> de uma vez. Ficam de fora, com aviso na página: a operação </w:t>
      </w:r>
      <w:r>
        <w:rPr>
          <w:b/>
        </w:rPr>
        <w:t>entre entidades nossas</w:t>
      </w:r>
      <w:r>
        <w:t xml:space="preserve"> (Banco × MGT) e a de entidade fora do cadastro </w:t>
      </w:r>
      <w:r>
        <w:rPr>
          <w:b/>
        </w:rPr>
        <w:t>E-Financeira — Declarant</w:t>
      </w:r>
      <w:r>
        <w:t xml:space="preserve"> (a visão do Lawton, por exemplo).</w:t>
      </w:r>
    </w:p>
    <w:p>
      <w:r>
        <w:rPr>
          <w:b/>
        </w:rPr>
        <w:t>As colunas que vão para o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 da 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Campo do arquivo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entra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Credit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balanco_totcred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recebeu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Debit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balanco_totdeb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pagou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Accumulated Payment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pag_totpgacum</w:t>
            </w:r>
          </w:p>
        </w:tc>
        <w:tc>
          <w:tcPr>
            <w:tcW w:type="dxa" w:w="3312"/>
          </w:tcPr>
          <w:p>
            <w:r>
              <w:t xml:space="preserve">O que o banco </w:t>
            </w:r>
            <w:r>
              <w:rPr>
                <w:b/>
              </w:rPr>
              <w:t>pagou ao cliente</w:t>
            </w:r>
            <w:r>
              <w:t xml:space="preserve"> no mês, prêmio incluído. Com valor, o </w:t>
            </w:r>
            <w:r>
              <w:rPr>
                <w:rFonts w:ascii="Consolas" w:hAnsi="Consolas"/>
                <w:color w:val="B03060"/>
              </w:rPr>
              <w:t>pag_tp</w:t>
            </w:r>
            <w:r>
              <w:t xml:space="preserve"> vai </w:t>
            </w:r>
            <w:r>
              <w:rPr>
                <w:b/>
              </w:rPr>
              <w:t>FATCA504</w:t>
            </w:r>
            <w:r>
              <w:t xml:space="preserve">; sem valor, </w:t>
            </w:r>
            <w:r>
              <w:rPr>
                <w:b/>
              </w:rPr>
              <w:t>999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Balance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balanco_vlrultdia</w:t>
            </w:r>
          </w:p>
        </w:tc>
        <w:tc>
          <w:tcPr>
            <w:tcW w:type="dxa" w:w="3312"/>
          </w:tcPr>
          <w:p>
            <w:r>
              <w:t xml:space="preserve">O prêmio </w:t>
            </w:r>
            <w:r>
              <w:rPr>
                <w:b/>
              </w:rPr>
              <w:t>recebido durante a vida</w:t>
            </w:r>
            <w:r>
              <w:t xml:space="preserve"> da operação — só quando ela </w:t>
            </w:r>
            <w:r>
              <w:rPr>
                <w:b/>
              </w:rPr>
              <w:t>encerrou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conta_dtencerr</w:t>
            </w:r>
          </w:p>
        </w:tc>
        <w:tc>
          <w:tcPr>
            <w:tcW w:type="dxa" w:w="3312"/>
          </w:tcPr>
          <w:p>
            <w:r>
              <w:t xml:space="preserve">A data do vencimento, do exercício ou da </w:t>
            </w:r>
            <w:r>
              <w:rPr>
                <w:b/>
              </w:rPr>
              <w:t>recompra total</w:t>
            </w:r>
            <w:r>
              <w:t>. Recompra parcial e fluxo de swap no meio da vida ficam em branco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conta_num</w:t>
            </w:r>
          </w:p>
        </w:tc>
        <w:tc>
          <w:tcPr>
            <w:tcW w:type="dxa" w:w="3312"/>
          </w:tcPr>
          <w:p>
            <w:r>
              <w:t>O código da operação na B3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Tax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declarado_ni</w:t>
            </w:r>
          </w:p>
        </w:tc>
        <w:tc>
          <w:tcPr>
            <w:tcW w:type="dxa" w:w="3312"/>
          </w:tcPr>
          <w:p>
            <w:r>
              <w:t>O CNPJ da contraparte (só os números, no arquivo)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CGD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conta_dtabertu</w:t>
            </w:r>
          </w:p>
        </w:tc>
        <w:tc>
          <w:tcPr>
            <w:tcW w:type="dxa" w:w="3312"/>
          </w:tcPr>
          <w:p>
            <w:r>
              <w:t xml:space="preserve">A data do CGD da contraparte no </w:t>
            </w:r>
            <w:r>
              <w:rPr>
                <w:b/>
              </w:rPr>
              <w:t>Reference Data</w:t>
            </w:r>
            <w:r>
              <w:t xml:space="preserve"> (o CGD *Active* do cadastro da contraparte — o mesmo que as confirmações usam). Sem CGD lá, a do </w:t>
            </w:r>
            <w:r>
              <w:rPr>
                <w:b/>
              </w:rPr>
              <w:t>Track Docs</w:t>
            </w:r>
            <w:r>
              <w:t xml:space="preserve"> (a da assinatura; sem ela, a da emissão). Passe o mouse sobre a data para ver de onde ela veio</w:t>
            </w:r>
          </w:p>
        </w:tc>
      </w:tr>
    </w:tbl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198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bo5hc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9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 imagem: a primeira linha está </w:t>
      </w:r>
      <w:r>
        <w:rPr>
          <w:b/>
        </w:rPr>
        <w:t>Pending</w:t>
      </w:r>
      <w:r>
        <w:t xml:space="preserve"> (uma correção esperando confirmação); a segunda está </w:t>
      </w:r>
      <w:r>
        <w:rPr>
          <w:b/>
        </w:rPr>
        <w:t>Incomplete</w:t>
      </w:r>
      <w:r>
        <w:t xml:space="preserve"> — falta a data do CGD, e a célula diz por quê (*Not in Reference Data*: o CNPJ dela não está no Reference Data); a terceira é uma opção que </w:t>
      </w:r>
      <w:r>
        <w:rPr>
          <w:b/>
        </w:rPr>
        <w:t>venceu sem pagamento</w:t>
      </w:r>
      <w:r>
        <w:t xml:space="preserve"> (o Saldo é o prêmio recebido em 2025); a quarta foi </w:t>
      </w:r>
      <w:r>
        <w:rPr>
          <w:b/>
        </w:rPr>
        <w:t>exercida</w:t>
      </w:r>
      <w:r>
        <w:t xml:space="preserve"> contra o banco (Pagamento Acumulado e Saldo) e o valor da B3 difere do interno em 35,40 — acima dos R$ 20,00, a Diferença fica em âmbar.</w:t>
      </w:r>
    </w:p>
    <w:p>
      <w:r>
        <w:t xml:space="preserve">O valor que a liquidação </w:t>
      </w:r>
      <w:r>
        <w:rPr>
          <w:b/>
        </w:rPr>
        <w:t>recebeu</w:t>
      </w:r>
      <w:r>
        <w:t xml:space="preserve"> do cliente não entra em coluna nenhuma do arquivo — ele aparece no </w:t>
      </w:r>
      <w:r>
        <w:rPr>
          <w:b/>
        </w:rPr>
        <w:t>Internal Value</w:t>
      </w:r>
      <w:r>
        <w:t xml:space="preserve">. Ao lado, o </w:t>
      </w:r>
      <w:r>
        <w:rPr>
          <w:b/>
        </w:rPr>
        <w:t>B3 Value</w:t>
      </w:r>
      <w:r>
        <w:t xml:space="preserve"> e a </w:t>
      </w:r>
      <w:r>
        <w:rPr>
          <w:b/>
        </w:rPr>
        <w:t>Difference</w:t>
      </w:r>
      <w:r>
        <w:t>, para comparar o interno com a B3: verde quando batem (até R$ 5,00 nas operações do NDF Summary e R$ 20,00 nas do Other Products), âmbar quando não.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O </w:t>
      </w:r>
      <w:r>
        <w:rPr>
          <w:b/>
        </w:rPr>
        <w:t>Reference month</w:t>
      </w:r>
      <w:r>
        <w:t xml:space="preserve"> abre no último dia do mês anterior — o mês que acabou de fechar. Troque a data para ver outro mês.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mês que ainda não foram importados.</w:t>
      </w:r>
    </w:p>
    <w:p>
      <w:pPr>
        <w:pStyle w:val="ListNumber"/>
      </w:pPr>
      <w:r>
        <w:t xml:space="preserve">Confira os cartões — </w:t>
      </w:r>
      <w:r>
        <w:rPr>
          <w:b/>
        </w:rPr>
        <w:t>Accounts</w:t>
      </w:r>
      <w:r>
        <w:t xml:space="preserve">, </w:t>
      </w:r>
      <w:r>
        <w:rPr>
          <w:b/>
        </w:rPr>
        <w:t>Closed in the month</w:t>
      </w:r>
      <w:r>
        <w:t xml:space="preserve">, </w:t>
      </w:r>
      <w:r>
        <w:rPr>
          <w:b/>
        </w:rPr>
        <w:t>With payment</w:t>
      </w:r>
      <w:r>
        <w:t xml:space="preserve">, </w:t>
      </w:r>
      <w:r>
        <w:rPr>
          <w:b/>
        </w:rPr>
        <w:t>Internal × B3 to check</w:t>
      </w:r>
      <w:r>
        <w:t xml:space="preserve">, </w:t>
      </w:r>
      <w:r>
        <w:rPr>
          <w:b/>
        </w:rPr>
        <w:t>Incomplete</w:t>
      </w:r>
      <w:r>
        <w:t xml:space="preserve"> e </w:t>
      </w:r>
      <w:r>
        <w:rPr>
          <w:b/>
        </w:rPr>
        <w:t>Pending</w:t>
      </w:r>
      <w:r>
        <w:t xml:space="preserve"> (clicar num cartão filtra a tabela) — e os totais logo abaixo.</w:t>
      </w:r>
    </w:p>
    <w:p>
      <w:pPr>
        <w:pStyle w:val="ListNumber"/>
      </w:pPr>
      <w:r>
        <w:t xml:space="preserve">Complete as linhas </w:t>
      </w:r>
      <w:r>
        <w:rPr>
          <w:b/>
        </w:rPr>
        <w:t>Incomplete</w:t>
      </w:r>
      <w:r>
        <w:t xml:space="preserve">: a célula que falta fica em vermelho (LE, B3 ID, Tax ID ou CGD Date). Sem a data do CGD, a própria célula diz </w:t>
      </w:r>
      <w:r>
        <w:rPr>
          <w:b/>
        </w:rPr>
        <w:t>por quê</w:t>
      </w:r>
      <w:r>
        <w:t xml:space="preserve"> — *No Tax ID*, *Not in Reference Data*, *No CGD in Reference Data*, *CGD pending approval* (falta o checker) ou *CGD is not a date* (o valor cadastrado é um texto) — e o mouse sobre ela explica o que corrigir. Para o </w:t>
      </w:r>
      <w:r>
        <w:rPr>
          <w:b/>
        </w:rPr>
        <w:t>CGD Date</w:t>
      </w:r>
      <w:r>
        <w:t xml:space="preserve"> e o </w:t>
      </w:r>
      <w:r>
        <w:rPr>
          <w:b/>
        </w:rPr>
        <w:t>Tax ID</w:t>
      </w:r>
      <w:r>
        <w:t xml:space="preserve">, o certo é cadastrar na origem — o CNPJ e o CGD da contraparte no </w:t>
      </w:r>
      <w:r>
        <w:rPr>
          <w:b/>
        </w:rPr>
        <w:t>Reference Data</w:t>
      </w:r>
      <w:r>
        <w:t xml:space="preserve"> (o CGD só vale depois de aprovado, *Active*) — e recarregar a página: a data passa a valer para todos os meses e para as confirmações. O </w:t>
      </w:r>
      <w:r>
        <w:rPr>
          <w:b/>
        </w:rPr>
        <w:t>Edit</w:t>
      </w:r>
      <w:r>
        <w:t xml:space="preserve"> corrige só aquela linha, naquele mês.</w:t>
      </w:r>
    </w:p>
    <w:p>
      <w:pPr>
        <w:pStyle w:val="ListNumber"/>
      </w:pPr>
      <w:r>
        <w:t xml:space="preserve">Clique em </w:t>
      </w:r>
      <w:r>
        <w:rPr>
          <w:b/>
        </w:rPr>
        <w:t>Generate File</w:t>
      </w:r>
      <w:r>
        <w:t xml:space="preserve">. O arquivo é gravado em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 xml:space="preserve"> (substituindo o do mês, se já houver) e baixado. Ele </w:t>
      </w:r>
      <w:r>
        <w:rPr>
          <w:b/>
        </w:rPr>
        <w:t>não sai</w:t>
      </w:r>
      <w:r>
        <w:t xml:space="preserve"> com linha </w:t>
      </w:r>
      <w:r>
        <w:rPr>
          <w:b/>
        </w:rPr>
        <w:t>Pending</w:t>
      </w:r>
      <w:r>
        <w:t xml:space="preserve"> nem com linha incompleta — a mensagem diz quais.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New</w:t>
            </w:r>
          </w:p>
        </w:tc>
        <w:tc>
          <w:tcPr>
            <w:tcW w:type="dxa" w:w="4968"/>
          </w:tcPr>
          <w:p>
            <w:r>
              <w:t>A linha como veio da importação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Corrigida ou incluída à mão, esperando outra pessoa confirmar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Approved</w:t>
            </w:r>
          </w:p>
        </w:tc>
        <w:tc>
          <w:tcPr>
            <w:tcW w:type="dxa" w:w="4968"/>
          </w:tcPr>
          <w:p>
            <w:r>
              <w:t>A correção foi confirmada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968"/>
          </w:tcPr>
          <w:p>
            <w:r>
              <w:t>A linha está no último arquivo gerado, sem mudança desde então. Se ela mudar (um novo import, uma correção), volta ao status de antes — gere o arquivo de novo</w:t>
            </w:r>
          </w:p>
        </w:tc>
      </w:tr>
    </w:tbl>
    <w:p/>
    <w:p>
      <w:r>
        <w:rPr>
          <w:b/>
        </w:rPr>
        <w:t>Corrigir, incluir e apagar linhas</w:t>
      </w:r>
      <w:r>
        <w:t xml:space="preserve"> — como no WHT (12.1):</w:t>
      </w:r>
    </w:p>
    <w:p>
      <w:pPr>
        <w:pStyle w:val="ListNumber"/>
      </w:pPr>
      <w:r>
        <w:rPr>
          <w:b/>
        </w:rPr>
        <w:t>Edit</w:t>
      </w:r>
      <w:r>
        <w:t xml:space="preserve"> abre a janela com todos os campos que vão ao arquivo; vai só o que você mudou. A linha fica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</w:t>
      </w:r>
    </w:p>
    <w:p>
      <w:pPr>
        <w:pStyle w:val="ListNumber"/>
      </w:pPr>
      <w:r>
        <w:t xml:space="preserve">A correção fica guardada à parte: um novo </w:t>
      </w:r>
      <w:r>
        <w:rPr>
          <w:b/>
        </w:rPr>
        <w:t>Import Settlements</w:t>
      </w:r>
      <w:r>
        <w:t xml:space="preserve"> não a desfaz.</w:t>
      </w:r>
    </w:p>
    <w:p>
      <w:pPr>
        <w:pStyle w:val="ListNumber"/>
      </w:pPr>
      <w:r>
        <w:rPr>
          <w:b/>
        </w:rPr>
        <w:t>Delete</w:t>
      </w:r>
      <w:r>
        <w:t xml:space="preserve"> tira a conta do mês,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 barra mostra a coluna a alterar, o valor,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conta que as telas de liquidação não trouxeram. Obrigatórios: </w:t>
      </w:r>
      <w:r>
        <w:rPr>
          <w:b/>
        </w:rPr>
        <w:t>LE</w:t>
      </w:r>
      <w:r>
        <w:t xml:space="preserve">, </w:t>
      </w:r>
      <w:r>
        <w:rPr>
          <w:b/>
        </w:rPr>
        <w:t>B3 ID</w:t>
      </w:r>
      <w:r>
        <w:t xml:space="preserve">, </w:t>
      </w:r>
      <w:r>
        <w:rPr>
          <w:b/>
        </w:rPr>
        <w:t>Counterparty</w:t>
      </w:r>
      <w:r>
        <w:t xml:space="preserve">, </w:t>
      </w:r>
      <w:r>
        <w:rPr>
          <w:b/>
        </w:rPr>
        <w:t>Product</w:t>
      </w:r>
      <w:r>
        <w:t xml:space="preserve"> e </w:t>
      </w:r>
      <w:r>
        <w:rPr>
          <w:b/>
        </w:rPr>
        <w:t>LOB</w:t>
      </w:r>
      <w:r>
        <w:t xml:space="preserve">. Os totais digitados vão ao arquivo como digitados; o </w:t>
      </w:r>
      <w:r>
        <w:rPr>
          <w:b/>
        </w:rPr>
        <w:t>Balance</w:t>
      </w:r>
      <w:r>
        <w:t xml:space="preserve"> em branco sai do prêmio (recebido, e a operação encerrada). A linha nasce </w:t>
      </w:r>
      <w:r>
        <w:rPr>
          <w:b/>
        </w:rPr>
        <w:t>Pending</w:t>
      </w:r>
      <w:r>
        <w:t>.</w:t>
      </w:r>
    </w:p>
    <w:p>
      <w:r>
        <w:rPr>
          <w:b/>
        </w:rPr>
        <w:t>O cadastro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E-Financeira — Declarant</w:t>
      </w:r>
      <w:r>
        <w:t xml:space="preserve"> — o número do ente e o CNPJ de cada entidade declarante (JPM 39, MGT 1315) e, na coluna </w:t>
      </w:r>
      <w:r>
        <w:rPr>
          <w:b/>
        </w:rPr>
        <w:t>Aliases</w:t>
      </w:r>
      <w:r>
        <w:t xml:space="preserve">, os códigos com que a entidade aparece nas operações (o texto da entidade que vem do Athena, como "BCO J.P. MORGAN S.A. 2768 - GEM BR - RATES": a JPM nasce com </w:t>
      </w:r>
      <w:r>
        <w:rPr>
          <w:rFonts w:ascii="Consolas" w:hAnsi="Consolas"/>
          <w:color w:val="B03060"/>
        </w:rPr>
        <w:t>2768; 0228</w:t>
      </w:r>
      <w:r>
        <w:t>). A operação de uma entidade fora dele não é declarada, e a contraparte que está nele é tratada como intragrupo.</w:t>
      </w:r>
    </w:p>
    <w:p>
      <w:r>
        <w:t xml:space="preserve">Se aparecer o aviso </w:t>
      </w:r>
      <w:r>
        <w:rPr>
          <w:b/>
        </w:rPr>
        <w:t>"Operations of an entity outside the E-Financeira — Declarant mapping were left out"</w:t>
      </w:r>
      <w:r>
        <w:t xml:space="preserve"> com um nome que é nosso, cadastre o código dele em </w:t>
      </w:r>
      <w:r>
        <w:rPr>
          <w:b/>
        </w:rPr>
        <w:t>Aliases</w:t>
      </w:r>
      <w:r>
        <w:t xml:space="preserve"> e recarregue a página. Se o nome vier como </w:t>
      </w:r>
      <w:r>
        <w:rPr>
          <w:b/>
        </w:rPr>
        <w:t>"—"</w:t>
      </w:r>
      <w:r>
        <w:t xml:space="preserve"> (a operação veio sem entidade), rode o </w:t>
      </w:r>
      <w:r>
        <w:rPr>
          <w:b/>
        </w:rPr>
        <w:t>Import Settlements</w:t>
      </w:r>
      <w:r>
        <w:t xml:space="preserve"> do mês de novo: a importação passa a trazer a conta da operação, de onde a entidade sai.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hhjbpft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zey9xp7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0qg1z4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19j22ju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5fvkln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8r4b9j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lt6wbl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nt7rcux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ibg9d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d8lh6y9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tk36l2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qfbp985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netfftx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c8z9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m0uz3n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2db4mcz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o5uzgq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ffvv4tn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5ukyo1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