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1.0 · </w:t>
      </w:r>
      <w:r>
        <w:rPr>
          <w:b/>
        </w:rPr>
        <w:t>Data:</w:t>
      </w:r>
      <w:r>
        <w:t xml:space="preserve"> 30/07/2026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 ou valor real aparece nestas páginas.</w:t>
      </w:r>
    </w:p>
    <w:p>
      <w:pPr>
        <w:pStyle w:val="Heading2"/>
      </w:pPr>
      <w:r>
        <w:rPr>
          <w:color w:val="0066CC"/>
          <w:sz w:val="30"/>
        </w:rPr>
        <w:t>1. Visão Geral</w:t>
      </w:r>
    </w:p>
    <w:p>
      <w:r>
        <w:t xml:space="preserve">O </w:t>
      </w:r>
      <w:r>
        <w:rPr>
          <w:b/>
        </w:rPr>
        <w:t>OTC Tracker</w:t>
      </w:r>
      <w:r>
        <w:t xml:space="preserve"> centraliza o ciclo de vida das operações de derivativos de balcão (OTC) da mesa Brasil — do momento em que o negócio é fechado até o arquivo de confirmação assinado e arquivado.</w:t>
      </w:r>
    </w:p>
    <w:p>
      <w:r>
        <w:rPr>
          <w:b/>
        </w:rPr>
        <w:t>Objetivo principal:</w:t>
      </w:r>
      <w:r>
        <w:t xml:space="preserve"> garantir que toda operação fechada no dia seja </w:t>
      </w:r>
      <w:r>
        <w:rPr>
          <w:b/>
        </w:rPr>
        <w:t>registrada na B3</w:t>
      </w:r>
      <w:r>
        <w:t xml:space="preserve">, </w:t>
      </w:r>
      <w:r>
        <w:rPr>
          <w:b/>
        </w:rPr>
        <w:t>confirmada com a contraparte</w:t>
      </w:r>
      <w:r>
        <w:t xml:space="preserve"> e </w:t>
      </w:r>
      <w:r>
        <w:rPr>
          <w:b/>
        </w:rPr>
        <w:t>instruída para liquidação</w:t>
      </w:r>
      <w:r>
        <w:t>, sem que nenhuma se perca no caminho.</w:t>
      </w:r>
    </w:p>
    <w:p>
      <w:r>
        <w:t>O sistema cobre quatro grandes blocos de trabalho: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t>New Deals</w:t>
            </w:r>
          </w:p>
        </w:tc>
        <w:tc>
          <w:tcPr>
            <w:tcW w:type="dxa" w:w="4968"/>
          </w:tcPr>
          <w:p>
            <w:r>
              <w:t>Importa as operações do dia, valida os dados e registra na B3</w:t>
            </w:r>
          </w:p>
        </w:tc>
      </w:tr>
      <w:tr>
        <w:tc>
          <w:tcPr>
            <w:tcW w:type="dxa" w:w="4968"/>
          </w:tcPr>
          <w:p>
            <w:r>
              <w:t>Confirmations</w:t>
            </w:r>
          </w:p>
        </w:tc>
        <w:tc>
          <w:tcPr>
            <w:tcW w:type="dxa" w:w="4968"/>
          </w:tcPr>
          <w:p>
            <w:r>
              <w:t>Gera os documentos de confirmação (Word, PDF e XML) e envia à contraparte</w:t>
            </w:r>
          </w:p>
        </w:tc>
      </w:tr>
      <w:tr>
        <w:tc>
          <w:tcPr>
            <w:tcW w:type="dxa" w:w="4968"/>
          </w:tcPr>
          <w:p>
            <w:r>
              <w:t>Daily Settlement</w:t>
            </w:r>
          </w:p>
        </w:tc>
        <w:tc>
          <w:tcPr>
            <w:tcW w:type="dxa" w:w="4968"/>
          </w:tcPr>
          <w:p>
            <w:r>
              <w:t>Calcula e instrui as liquidações do dia</w:t>
            </w:r>
          </w:p>
        </w:tc>
      </w:tr>
      <w:tr>
        <w:tc>
          <w:tcPr>
            <w:tcW w:type="dxa" w:w="4968"/>
          </w:tcPr>
          <w:p>
            <w:r>
              <w:t>Reconciliations</w:t>
            </w:r>
          </w:p>
        </w:tc>
        <w:tc>
          <w:tcPr>
            <w:tcW w:type="dxa" w:w="4968"/>
          </w:tcPr>
          <w:p>
            <w:r>
              <w:t>Concilia posição, comitente e pagamentos/recebimentos</w:t>
            </w:r>
          </w:p>
        </w:tc>
      </w:tr>
    </w:tbl>
    <w:p/>
    <w:p>
      <w:pPr>
        <w:pStyle w:val="Heading3"/>
      </w:pPr>
      <w:r>
        <w:rPr>
          <w:sz w:val="25"/>
        </w:rPr>
        <w:t>1.1. Como o sistema se organiza</w:t>
      </w:r>
    </w:p>
    <w:p>
      <w:r>
        <w:t>Toda página segue o mesmo esqueleto: menu lateral à esquerda, barra superior com notificações e perfil, e a área de trabalho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1379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1379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2. Primeiros Passos</w:t>
      </w:r>
    </w:p>
    <w:p>
      <w:pPr>
        <w:pStyle w:val="Heading3"/>
      </w:pPr>
      <w:r>
        <w:rPr>
          <w:sz w:val="25"/>
        </w:rPr>
        <w:t>2.1.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menu.</w:t>
      </w:r>
    </w:p>
    <w:p>
      <w:pPr>
        <w:pStyle w:val="Heading3"/>
      </w:pPr>
      <w:r>
        <w:rPr>
          <w:sz w:val="25"/>
        </w:rPr>
        <w:t>2.2. Entrar no sistema</w:t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Digite o seu </w:t>
      </w:r>
      <w:r>
        <w:rPr>
          <w:b/>
        </w:rPr>
        <w:t>SID</w:t>
      </w:r>
      <w:r>
        <w:t xml:space="preserve"> no campo </w:t>
      </w:r>
      <w:r>
        <w:rPr>
          <w:b/>
        </w:rPr>
        <w:t>SID Number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Sign In</w:t>
      </w:r>
      <w:r>
        <w:t>.</w:t>
      </w:r>
    </w:p>
    <w:p>
      <w:pPr>
        <w:pStyle w:val="ListNumber"/>
      </w:pPr>
      <w:r>
        <w:t>Se este já for o seu computador de costume, você entra direto.</w:t>
      </w:r>
    </w:p>
    <w:p>
      <w:pPr>
        <w:pStyle w:val="ListNumber"/>
      </w:pPr>
      <w:r>
        <w:t xml:space="preserve">Se for uma máquina nova, o sistema envia um </w:t>
      </w:r>
      <w:r>
        <w:rPr>
          <w:b/>
        </w:rPr>
        <w:t>código de 6 dígitos</w:t>
      </w:r>
      <w:r>
        <w:t xml:space="preserve"> para o seu e-mail corporativo.</w:t>
      </w:r>
    </w:p>
    <w:p>
      <w:pPr>
        <w:pStyle w:val="Heading3"/>
      </w:pPr>
      <w:r>
        <w:rPr>
          <w:sz w:val="25"/>
        </w:rPr>
        <w:t>2.3. Verificação em duas etapas</w:t>
      </w:r>
    </w:p>
    <w:p>
      <w:r>
        <w:t>Quando o código for solicitado:</w:t>
      </w:r>
    </w:p>
    <w:p>
      <w:pPr>
        <w:pStyle w:val="ListNumber"/>
      </w:pPr>
      <w:r>
        <w:t xml:space="preserve">Abra o seu e-mail corporativo e 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Digite o código na tela de verificação e 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esse prazo, volte à tela de login e faça uma nova tentativa para receber outro código.</w:t>
      </w:r>
    </w:p>
    <w:p>
      <w:pPr>
        <w:pStyle w:val="Heading3"/>
      </w:pPr>
      <w:r>
        <w:rPr>
          <w:sz w:val="25"/>
        </w:rPr>
        <w:t>2.4. Ajustes da sua sessão</w:t>
      </w:r>
    </w:p>
    <w:p>
      <w:r>
        <w:t>Na barra superior, à direita, você encontra:</w:t>
      </w:r>
    </w:p>
    <w:p>
      <w:pPr>
        <w:pStyle w:val="ListBullet"/>
      </w:pPr>
      <w:r>
        <w:rPr>
          <w:b/>
        </w:rPr>
        <w:t>Sol / Lua</w:t>
      </w:r>
      <w:r>
        <w:t xml:space="preserve"> — alterna entre tema claro e escuro.</w:t>
      </w:r>
    </w:p>
    <w:p>
      <w:pPr>
        <w:pStyle w:val="ListBullet"/>
      </w:pPr>
      <w:r>
        <w:rPr>
          <w:b/>
        </w:rPr>
        <w:t>Sino</w:t>
      </w:r>
      <w:r>
        <w:t xml:space="preserve"> — notificações do sistema (importações, mapeamentos, envios).</w:t>
      </w:r>
    </w:p>
    <w:p>
      <w:pPr>
        <w:pStyle w:val="ListBullet"/>
      </w:pPr>
      <w:r>
        <w:rPr>
          <w:b/>
        </w:rPr>
        <w:t>EN</w:t>
      </w:r>
      <w:r>
        <w:t xml:space="preserve"> — idioma da interface.</w:t>
      </w:r>
    </w:p>
    <w:p>
      <w:pPr>
        <w:pStyle w:val="ListBullet"/>
      </w:pPr>
      <w:r>
        <w:rPr>
          <w:b/>
        </w:rPr>
        <w:t>Seu nome</w:t>
      </w:r>
      <w:r>
        <w:t xml:space="preserve"> — perfil e sair.</w:t>
      </w:r>
    </w:p>
    <w:p>
      <w:pPr>
        <w:pStyle w:val="Heading2"/>
      </w:pPr>
      <w:r>
        <w:rPr>
          <w:color w:val="0066CC"/>
          <w:sz w:val="30"/>
        </w:rPr>
        <w:t>3. Passo a Passo Principal</w:t>
      </w:r>
    </w:p>
    <w:p>
      <w:pPr>
        <w:pStyle w:val="Heading3"/>
      </w:pPr>
      <w:r>
        <w:rPr>
          <w:sz w:val="25"/>
        </w:rPr>
        <w:t>3.1. New Deals — a tela de trabalho do dia</w:t>
      </w:r>
    </w:p>
    <w:p>
      <w:r>
        <w:t xml:space="preserve">Todas as páginas de </w:t>
      </w:r>
      <w:r>
        <w:rPr>
          <w:b/>
        </w:rPr>
        <w:t>New Deals</w:t>
      </w:r>
      <w:r>
        <w:t xml:space="preserve"> funcionam da mesma forma. Muda o produto, não o fluxo.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vanill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áreas,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Área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 (quando o produto aceita importação por arquivo)</w:t>
            </w:r>
          </w:p>
        </w:tc>
      </w:tr>
      <w:tr>
        <w:tc>
          <w:tcPr>
            <w:tcW w:type="dxa" w:w="4968"/>
          </w:tcPr>
          <w:p>
            <w:r>
              <w:t>Barra de busca</w:t>
            </w:r>
          </w:p>
        </w:tc>
        <w:tc>
          <w:tcPr>
            <w:tcW w:type="dxa" w:w="4968"/>
          </w:tcPr>
          <w:p>
            <w:r>
              <w:t>Filtrar por qualquer coluna</w:t>
            </w:r>
          </w:p>
        </w:tc>
      </w:tr>
      <w:tr>
        <w:tc>
          <w:tcPr>
            <w:tcW w:type="dxa" w:w="4968"/>
          </w:tcPr>
          <w:p>
            <w:r>
              <w:t>Show entries</w:t>
            </w:r>
          </w:p>
        </w:tc>
        <w:tc>
          <w:tcPr>
            <w:tcW w:type="dxa" w:w="4968"/>
          </w:tcPr>
          <w:p>
            <w:r>
              <w:t>Quantas linhas por página e, em alguns produtos, os botões de documento e e-mail</w:t>
            </w:r>
          </w:p>
        </w:tc>
      </w:tr>
      <w:tr>
        <w:tc>
          <w:tcPr>
            <w:tcW w:type="dxa" w:w="4968"/>
          </w:tcPr>
          <w:p>
            <w:r>
              <w:t>Barra de ferramentas</w:t>
            </w:r>
          </w:p>
        </w:tc>
        <w:tc>
          <w:tcPr>
            <w:tcW w:type="dxa" w:w="4968"/>
          </w:tcPr>
          <w:p>
            <w:r>
              <w:t>Columns, Add Row, Export, Reference Date, Import, Mapping B3 e Clear Filters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O que cada status significa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New</w:t>
            </w:r>
          </w:p>
        </w:tc>
        <w:tc>
          <w:tcPr>
            <w:tcW w:type="dxa" w:w="4968"/>
          </w:tcPr>
          <w:p>
            <w:r>
              <w:t>Acabou de chegar da API; ninguém revisou ainda</w:t>
            </w:r>
          </w:p>
        </w:tc>
      </w:tr>
      <w:tr>
        <w:tc>
          <w:tcPr>
            <w:tcW w:type="dxa" w:w="4968"/>
          </w:tcPr>
          <w:p>
            <w:r>
              <w:t>Amend</w:t>
            </w:r>
          </w:p>
        </w:tc>
        <w:tc>
          <w:tcPr>
            <w:tcW w:type="dxa" w:w="4968"/>
          </w:tcPr>
          <w:p>
            <w:r>
              <w:t>Já existia, mas a API alterou um dado econômico — precisa de revisão</w:t>
            </w:r>
          </w:p>
        </w:tc>
      </w:tr>
      <w:tr>
        <w:tc>
          <w:tcPr>
            <w:tcW w:type="dxa" w:w="4968"/>
          </w:tcPr>
          <w:p>
            <w:r>
              <w:t>Pending</w:t>
            </w:r>
          </w:p>
        </w:tc>
        <w:tc>
          <w:tcPr>
            <w:tcW w:type="dxa" w:w="4968"/>
          </w:tcPr>
          <w:p>
            <w:r>
              <w:t>Alguém editou e submeteu para aprovação</w:t>
            </w:r>
          </w:p>
        </w:tc>
      </w:tr>
      <w:tr>
        <w:tc>
          <w:tcPr>
            <w:tcW w:type="dxa" w:w="4968"/>
          </w:tcPr>
          <w:p>
            <w:r>
              <w:t>Approved</w:t>
            </w:r>
          </w:p>
        </w:tc>
        <w:tc>
          <w:tcPr>
            <w:tcW w:type="dxa" w:w="4968"/>
          </w:tcPr>
          <w:p>
            <w:r>
              <w:t>Aprovado, pronto para seguir</w:t>
            </w:r>
          </w:p>
        </w:tc>
      </w:tr>
      <w:tr>
        <w:tc>
          <w:tcPr>
            <w:tcW w:type="dxa" w:w="4968"/>
          </w:tcPr>
          <w:p>
            <w:r>
              <w:t>Sent</w:t>
            </w:r>
          </w:p>
        </w:tc>
        <w:tc>
          <w:tcPr>
            <w:tcW w:type="dxa" w:w="4968"/>
          </w:tcPr>
          <w:p>
            <w:r>
              <w:t>Arquivo gerado e enviado para registro</w:t>
            </w:r>
          </w:p>
        </w:tc>
      </w:tr>
      <w:tr>
        <w:tc>
          <w:tcPr>
            <w:tcW w:type="dxa" w:w="4968"/>
          </w:tcPr>
          <w:p>
            <w:r>
              <w:t>Success</w:t>
            </w:r>
          </w:p>
        </w:tc>
        <w:tc>
          <w:tcPr>
            <w:tcW w:type="dxa" w:w="4968"/>
          </w:tcPr>
          <w:p>
            <w:r>
              <w:t>Registrado na B3, com o número do B3 ID preenchido</w:t>
            </w:r>
          </w:p>
        </w:tc>
      </w:tr>
      <w:tr>
        <w:tc>
          <w:tcPr>
            <w:tcW w:type="dxa" w:w="4968"/>
          </w:tcPr>
          <w:p>
            <w:r>
              <w:t>Error</w:t>
            </w:r>
          </w:p>
        </w:tc>
        <w:tc>
          <w:tcPr>
            <w:tcW w:type="dxa" w:w="4968"/>
          </w:tcPr>
          <w:p>
            <w:r>
              <w:t>Voltou com erro da B3</w:t>
            </w:r>
          </w:p>
        </w:tc>
      </w:tr>
    </w:tbl>
    <w:p/>
    <w:p>
      <w:pPr>
        <w:pStyle w:val="Heading3"/>
      </w:pPr>
      <w:r>
        <w:rPr>
          <w:sz w:val="25"/>
        </w:rPr>
        <w:t>3.2.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 Ele comanda tudo — é a data usada para puxar e para gravar. Por padrão vem a data de hoje.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Athena e carrega a tabela.</w:t>
      </w:r>
    </w:p>
    <w:p>
      <w:pPr>
        <w:pStyle w:val="ListNumber"/>
      </w:pPr>
      <w:r>
        <w:t>O sino de notificações mostra quantas operações entraram.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 a cada </w:t>
      </w:r>
      <w:r>
        <w:rPr>
          <w:b/>
          <w:color w:val="1A3A5A"/>
        </w:rPr>
        <w:t>20 minutos</w:t>
      </w:r>
      <w:r>
        <w:rPr>
          <w:color w:val="1A3A5A"/>
        </w:rPr>
        <w:t xml:space="preserve"> (NDF) e a cada </w:t>
      </w:r>
      <w:r>
        <w:rPr>
          <w:b/>
          <w:color w:val="1A3A5A"/>
        </w:rPr>
        <w:t>hora</w:t>
      </w:r>
      <w:r>
        <w:rPr>
          <w:color w:val="1A3A5A"/>
        </w:rPr>
        <w:t xml:space="preserve"> (Opções). O botão serve para adiantar a importação ou para reimportar uma data passada.</w:t>
      </w:r>
    </w:p>
    <w:p>
      <w:pPr>
        <w:pStyle w:val="Heading3"/>
      </w:pPr>
      <w:r>
        <w:rPr>
          <w:sz w:val="25"/>
        </w:rPr>
        <w:t>3.3. Encontrar uma operação</w:t>
      </w:r>
    </w:p>
    <w:p>
      <w:pPr>
        <w:pStyle w:val="ListNumber"/>
      </w:pPr>
      <w:r>
        <w:t xml:space="preserve">Clique na barra de busca e escolha a </w:t>
      </w:r>
      <w:r>
        <w:rPr>
          <w:b/>
        </w:rPr>
        <w:t>coluna</w:t>
      </w:r>
      <w:r>
        <w:t xml:space="preserve"> na lista que aparece.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para criar a ficha do filtro.</w:t>
      </w:r>
    </w:p>
    <w:p>
      <w:pPr>
        <w:pStyle w:val="ListNumber"/>
      </w:pPr>
      <w:r>
        <w:t xml:space="preserve">Repita o processo para combinar filtros — por exemplo, data </w:t>
      </w:r>
      <w:r>
        <w:rPr>
          <w:b/>
        </w:rPr>
        <w:t>e</w:t>
      </w:r>
      <w:r>
        <w:t xml:space="preserve"> status.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Para limpar tudo de uma vez, use </w:t>
      </w:r>
      <w:r>
        <w:rPr>
          <w:b/>
        </w:rPr>
        <w:t>Clear Filters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Atenção.</w:t>
      </w:r>
      <w:r>
        <w:rPr>
          <w:color w:val="1A3A5A"/>
        </w:rPr>
        <w:t xml:space="preserve"> Depois de uma busca, a tabela mostra apenas o resultado. Os botões de documento e e-mail trabalham com o que está carregado na tela — se você filtrou, filtrou para eles também. A única exceção é o </w:t>
      </w:r>
      <w:r>
        <w:rPr>
          <w:b/>
          <w:color w:val="1A3A5A"/>
        </w:rPr>
        <w:t>Mapping B3</w:t>
      </w:r>
      <w:r>
        <w:rPr>
          <w:color w:val="1A3A5A"/>
        </w:rPr>
        <w:t>, que sempre lê o dia inteiro.</w:t>
      </w:r>
    </w:p>
    <w:p>
      <w:pPr>
        <w:pStyle w:val="Heading3"/>
      </w:pPr>
      <w:r>
        <w:rPr>
          <w:sz w:val="25"/>
        </w:rPr>
        <w:t>3.4. Corrigir uma linha</w:t>
      </w:r>
    </w:p>
    <w:p>
      <w:r>
        <w:t xml:space="preserve">Cada linha tem quatro botões na coluna </w:t>
      </w:r>
      <w:r>
        <w:rPr>
          <w:b/>
        </w:rPr>
        <w:t>Actions</w:t>
      </w:r>
      <w:r>
        <w:t>, nesta ordem: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t>Confirm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Aprova a operação</w:t>
            </w:r>
          </w:p>
        </w:tc>
      </w:tr>
      <w:tr>
        <w:tc>
          <w:tcPr>
            <w:tcW w:type="dxa" w:w="3312"/>
          </w:tcPr>
          <w:p>
            <w:r>
              <w:t>Edit</w:t>
            </w:r>
          </w:p>
        </w:tc>
        <w:tc>
          <w:tcPr>
            <w:tcW w:type="dxa" w:w="3312"/>
          </w:tcPr>
          <w:p>
            <w:r>
              <w:t>Azul</w:t>
            </w:r>
          </w:p>
        </w:tc>
        <w:tc>
          <w:tcPr>
            <w:tcW w:type="dxa" w:w="3312"/>
          </w:tcPr>
          <w:p>
            <w:r>
              <w:t>Abre o formulário de edição</w:t>
            </w:r>
          </w:p>
        </w:tc>
      </w:tr>
      <w:tr>
        <w:tc>
          <w:tcPr>
            <w:tcW w:type="dxa" w:w="3312"/>
          </w:tcPr>
          <w:p>
            <w:r>
              <w:t>Delete</w:t>
            </w:r>
          </w:p>
        </w:tc>
        <w:tc>
          <w:tcPr>
            <w:tcW w:type="dxa" w:w="3312"/>
          </w:tcPr>
          <w:p>
            <w:r>
              <w:t>Vermelho</w:t>
            </w:r>
          </w:p>
        </w:tc>
        <w:tc>
          <w:tcPr>
            <w:tcW w:type="dxa" w:w="3312"/>
          </w:tcPr>
          <w:p>
            <w:r>
              <w:t>Remove a linha</w:t>
            </w:r>
          </w:p>
        </w:tc>
      </w:tr>
      <w:tr>
        <w:tc>
          <w:tcPr>
            <w:tcW w:type="dxa" w:w="3312"/>
          </w:tcPr>
          <w:p>
            <w:r>
              <w:t>Send</w:t>
            </w:r>
          </w:p>
        </w:tc>
        <w:tc>
          <w:tcPr>
            <w:tcW w:type="dxa" w:w="3312"/>
          </w:tcPr>
          <w:p>
            <w:r>
              <w:t>Azul-escuro</w:t>
            </w:r>
          </w:p>
        </w:tc>
        <w:tc>
          <w:tcPr>
            <w:tcW w:type="dxa" w:w="3312"/>
          </w:tcPr>
          <w:p>
            <w:r>
              <w:t>Envia para registro na B3</w:t>
            </w:r>
          </w:p>
        </w:tc>
      </w:tr>
    </w:tbl>
    <w:p/>
    <w:p>
      <w:r>
        <w:rPr>
          <w:b/>
        </w:rPr>
        <w:t>Para corrigir um dado:</w:t>
      </w:r>
    </w:p>
    <w:p>
      <w:pPr>
        <w:pStyle w:val="ListNumber"/>
      </w:pPr>
      <w:r>
        <w:t xml:space="preserve">Clique em </w:t>
      </w:r>
      <w:r>
        <w:rPr>
          <w:b/>
        </w:rPr>
        <w:t>Edit</w:t>
      </w:r>
      <w:r>
        <w:t xml:space="preserve"> na linha desejada.</w:t>
      </w:r>
    </w:p>
    <w:p>
      <w:pPr>
        <w:pStyle w:val="ListNumber"/>
      </w:pPr>
      <w:r>
        <w:t>Ajuste os campos no formulário.</w:t>
      </w:r>
    </w:p>
    <w:p>
      <w:pPr>
        <w:pStyle w:val="ListNumber"/>
      </w:pPr>
      <w:r>
        <w:t xml:space="preserve">Salve. O status passa a </w:t>
      </w:r>
      <w:r>
        <w:rPr>
          <w:b/>
        </w:rPr>
        <w:t>Pending</w:t>
      </w:r>
      <w:r>
        <w:t xml:space="preserve"> e a operação precisa da aprovação de </w:t>
      </w:r>
      <w:r>
        <w:rPr>
          <w:b/>
        </w:rPr>
        <w:t>outro usuário</w:t>
      </w:r>
      <w:r>
        <w:t>.</w:t>
      </w:r>
    </w:p>
    <w:p>
      <w:r>
        <w:rPr>
          <w:b/>
        </w:rPr>
        <w:t>Para editar várias linhas de uma vez:</w:t>
      </w:r>
    </w:p>
    <w:p>
      <w:pPr>
        <w:pStyle w:val="ListNumber"/>
      </w:pPr>
      <w:r>
        <w:t>Marque as caixas de seleção das linhas.</w:t>
      </w:r>
    </w:p>
    <w:p>
      <w:pPr>
        <w:pStyle w:val="ListNumber"/>
      </w:pPr>
      <w:r>
        <w:t>Use a ação em massa que aparece na barra.</w:t>
      </w:r>
    </w:p>
    <w:p>
      <w:pPr>
        <w:pStyle w:val="Heading3"/>
      </w:pPr>
      <w:r>
        <w:rPr>
          <w:sz w:val="25"/>
        </w:rPr>
        <w:t>3.5. Aprovar uma operação</w:t>
      </w:r>
    </w:p>
    <w:p>
      <w:pPr>
        <w:pStyle w:val="ListNumber"/>
      </w:pPr>
      <w:r>
        <w:t xml:space="preserve">Clique em </w:t>
      </w:r>
      <w:r>
        <w:rPr>
          <w:b/>
        </w:rPr>
        <w:t>Confirm</w:t>
      </w:r>
      <w:r>
        <w:t xml:space="preserve"> (botão verde) na linha.</w:t>
      </w:r>
    </w:p>
    <w:p>
      <w:pPr>
        <w:pStyle w:val="ListNumber"/>
      </w:pPr>
      <w:r>
        <w:t xml:space="preserve">Operação com status </w:t>
      </w:r>
      <w:r>
        <w:rPr>
          <w:b/>
        </w:rPr>
        <w:t>New</w:t>
      </w:r>
      <w:r>
        <w:t xml:space="preserve"> vai </w:t>
      </w:r>
      <w:r>
        <w:rPr>
          <w:b/>
        </w:rPr>
        <w:t>direto para Approved</w:t>
      </w:r>
      <w:r>
        <w:t xml:space="preserve"> — como você não editou nada, não há o que submeter à revisão.</w:t>
      </w:r>
    </w:p>
    <w:p>
      <w:pPr>
        <w:pStyle w:val="ListNumber"/>
      </w:pPr>
      <w:r>
        <w:t xml:space="preserve">Operação com status </w:t>
      </w:r>
      <w:r>
        <w:rPr>
          <w:b/>
        </w:rPr>
        <w:t>Amend</w:t>
      </w:r>
      <w:r>
        <w:t xml:space="preserve"> vai para </w:t>
      </w:r>
      <w:r>
        <w:rPr>
          <w:b/>
        </w:rPr>
        <w:t>Pending</w:t>
      </w:r>
      <w:r>
        <w:t>, porque a API alterou um dado econômico e alguém precisa conferir.</w:t>
      </w:r>
    </w:p>
    <w:p>
      <w:pPr>
        <w:pStyle w:val="ListNumber"/>
      </w:pPr>
      <w:r>
        <w:t xml:space="preserve">Operação com status </w:t>
      </w:r>
      <w:r>
        <w:rPr>
          <w:b/>
        </w:rPr>
        <w:t>Pending</w:t>
      </w:r>
      <w:r>
        <w:t xml:space="preserve"> vai para </w:t>
      </w:r>
      <w:r>
        <w:rPr>
          <w:b/>
        </w:rPr>
        <w:t>Approved</w:t>
      </w:r>
      <w:r>
        <w:t xml:space="preserve">, mas </w:t>
      </w:r>
      <w:r>
        <w:rPr>
          <w:b/>
        </w:rPr>
        <w:t>somente se for outro usuário</w:t>
      </w:r>
      <w:r>
        <w:t>. Quem editou não aprova a própria alteração.</w:t>
      </w:r>
    </w:p>
    <w:p>
      <w:pPr>
        <w:ind w:left="360"/>
        <w:shd w:val="clear" w:fill="EAF2FB"/>
      </w:pPr>
      <w:r>
        <w:rPr>
          <w:b/>
          <w:color w:val="1A3A5A"/>
        </w:rPr>
        <w:t>Duas travas antes de aprovar.</w:t>
      </w:r>
      <w:r>
        <w:rPr>
          <w:color w:val="1A3A5A"/>
        </w:rPr>
        <w:t xml:space="preserve"> Se a contraparte não estiver cadastrada (badge vermelho </w:t>
      </w:r>
      <w:r>
        <w:rPr>
          <w:b/>
          <w:color w:val="1A3A5A"/>
        </w:rPr>
        <w:t>Missing Counterparty</w:t>
      </w:r>
      <w:r>
        <w:rPr>
          <w:color w:val="1A3A5A"/>
        </w:rPr>
        <w:t xml:space="preserve">) ou o ativo não estiver no </w:t>
      </w:r>
      <w:r>
        <w:rPr>
          <w:b/>
          <w:color w:val="1A3A5A"/>
        </w:rPr>
        <w:t>Index B3</w:t>
      </w:r>
      <w:r>
        <w:rPr>
          <w:color w:val="1A3A5A"/>
        </w:rPr>
        <w:t>, o sistema bloqueia a aprovação e avisa. Aprovar sem esses cadastros enviaria dado errado para a B3.</w:t>
      </w:r>
    </w:p>
    <w:p>
      <w:pPr>
        <w:pStyle w:val="Heading3"/>
      </w:pPr>
      <w:r>
        <w:rPr>
          <w:sz w:val="25"/>
        </w:rPr>
        <w:t>3.6. Enviar para registro na B3</w:t>
      </w:r>
    </w:p>
    <w:p>
      <w:r>
        <w:t xml:space="preserve">Vale para </w:t>
      </w:r>
      <w:r>
        <w:rPr>
          <w:b/>
        </w:rPr>
        <w:t>NDF Vanilla</w:t>
      </w:r>
      <w:r>
        <w:t xml:space="preserve">, </w:t>
      </w:r>
      <w:r>
        <w:rPr>
          <w:b/>
        </w:rPr>
        <w:t>NDF FWD Start</w:t>
      </w:r>
      <w:r>
        <w:t xml:space="preserve">, </w:t>
      </w:r>
      <w:r>
        <w:rPr>
          <w:b/>
        </w:rPr>
        <w:t>NDF Other Publisher</w:t>
      </w:r>
      <w:r>
        <w:t xml:space="preserve">, </w:t>
      </w:r>
      <w:r>
        <w:rPr>
          <w:b/>
        </w:rPr>
        <w:t>NDF Commodities</w:t>
      </w:r>
      <w:r>
        <w:t xml:space="preserve">, </w:t>
      </w:r>
      <w:r>
        <w:rPr>
          <w:b/>
        </w:rPr>
        <w:t>Opção FXO</w:t>
      </w:r>
      <w:r>
        <w:t xml:space="preserve"> e </w:t>
      </w:r>
      <w:r>
        <w:rPr>
          <w:b/>
        </w:rPr>
        <w:t>Opção Commodities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fwdst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Com a linha em </w:t>
      </w:r>
      <w:r>
        <w:rPr>
          <w:b/>
        </w:rPr>
        <w:t>Approved</w:t>
      </w:r>
      <w:r>
        <w:t xml:space="preserve">,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O sistema gera o arquivo </w:t>
      </w:r>
      <w:r>
        <w:rPr>
          <w:b/>
        </w:rPr>
        <w:t>Conecta</w:t>
      </w:r>
      <w:r>
        <w:t xml:space="preserve"> e grava na pasta de envio.</w:t>
      </w:r>
    </w:p>
    <w:p>
      <w:pPr>
        <w:pStyle w:val="ListNumber"/>
      </w:pPr>
      <w:r>
        <w:t xml:space="preserve">O status passa a </w:t>
      </w:r>
      <w:r>
        <w:rPr>
          <w:b/>
        </w:rPr>
        <w:t>Sent</w:t>
      </w:r>
      <w:r>
        <w:t xml:space="preserve"> e você se torna o </w:t>
      </w:r>
      <w:r>
        <w:rPr>
          <w:b/>
        </w:rPr>
        <w:t>Checker</w:t>
      </w:r>
      <w:r>
        <w:t xml:space="preserve"> da operação.</w:t>
      </w:r>
    </w:p>
    <w:p>
      <w:pPr>
        <w:ind w:left="360"/>
        <w:shd w:val="clear" w:fill="EAF2FB"/>
      </w:pPr>
      <w:r>
        <w:rPr>
          <w:b/>
          <w:color w:val="1A3A5A"/>
        </w:rPr>
        <w:t>A NDF Vanilla passou a enviar como as demais.</w:t>
      </w:r>
      <w:r>
        <w:rPr>
          <w:color w:val="1A3A5A"/>
        </w:rPr>
        <w:t xml:space="preserve"> Antes o registro era feito por outra ferramenta e a operação seguia direto para o mapeamento do retorno; hoje o </w:t>
      </w:r>
      <w:r>
        <w:rPr>
          <w:b/>
          <w:color w:val="1A3A5A"/>
        </w:rPr>
        <w:t>Send</w:t>
      </w:r>
      <w:r>
        <w:rPr>
          <w:color w:val="1A3A5A"/>
        </w:rPr>
        <w:t xml:space="preserve"> gera o arquivo Conecta também nela. Se a outra ferramenta continuar registrando em paralelo, o mesmo negócio vai à B3 duas vezes — combine com a mesa qual dos dois caminhos vale.</w:t>
      </w:r>
    </w:p>
    <w:p>
      <w:pPr>
        <w:ind w:left="360"/>
        <w:shd w:val="clear" w:fill="EAF2FB"/>
      </w:pPr>
      <w:r>
        <w:rPr>
          <w:b/>
          <w:color w:val="1A3A5A"/>
        </w:rPr>
        <w:t>Quer conferir o arquivo antes de enviar?</w:t>
      </w:r>
      <w:r>
        <w:rPr>
          <w:color w:val="1A3A5A"/>
        </w:rPr>
        <w:t xml:space="preserve"> Dê </w:t>
      </w:r>
      <w:r>
        <w:rPr>
          <w:b/>
          <w:color w:val="1A3A5A"/>
        </w:rPr>
        <w:t>duplo clique na linha</w:t>
      </w:r>
      <w:r>
        <w:rPr>
          <w:color w:val="1A3A5A"/>
        </w:rPr>
        <w:t xml:space="preserve"> para abrir o preview e use o botão de </w:t>
      </w:r>
      <w:r>
        <w:rPr>
          <w:b/>
          <w:color w:val="1A3A5A"/>
        </w:rPr>
        <w:t>download</w:t>
      </w:r>
      <w:r>
        <w:rPr>
          <w:color w:val="1A3A5A"/>
        </w:rPr>
        <w:t>: ele monta o arquivo exatamente como o Send montaria — mesmo layout do File Interpreter — e grava na sua pasta de Downloads, sem enviar nada e sem mexer no status da operação.</w:t>
      </w:r>
    </w:p>
    <w:p>
      <w:pPr>
        <w:pStyle w:val="Heading3"/>
      </w:pPr>
      <w:r>
        <w:rPr>
          <w:sz w:val="25"/>
        </w:rPr>
        <w:t>3.7. Mapear o retorno da B3</w:t>
      </w:r>
    </w:p>
    <w:p>
      <w:r>
        <w:t xml:space="preserve">Depois de processar o arquivo, a B3 devolve um arquivo de retorno com o </w:t>
      </w:r>
      <w:r>
        <w:rPr>
          <w:b/>
        </w:rPr>
        <w:t>B3 ID</w:t>
      </w:r>
      <w:r>
        <w:t xml:space="preserve"> de cada operação aceita.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</w:t>
      </w:r>
      <w:r>
        <w:rPr>
          <w:b/>
        </w:rPr>
        <w:t>botão verde de atualizar</w:t>
      </w:r>
      <w:r>
        <w:t xml:space="preserve">, ao lado do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 xml:space="preserve">O sistema lê os arquivos da pasta de retorno e preenche a coluna </w:t>
      </w:r>
      <w:r>
        <w:rPr>
          <w:b/>
        </w:rPr>
        <w:t>B3 ID</w:t>
      </w:r>
      <w:r>
        <w:t>.</w:t>
      </w:r>
    </w:p>
    <w:p>
      <w:pPr>
        <w:pStyle w:val="ListNumber"/>
      </w:pPr>
      <w:r>
        <w:t>Uma janela informa quantas operações foram mapeadas e quantas voltaram com erro.</w:t>
      </w:r>
    </w:p>
    <w:p>
      <w:r>
        <w:t>O que acontece com cada operação: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4968"/>
          </w:tcPr>
          <w:p>
            <w:r>
              <w:t>Encontrada no arquivo de retorno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Success</w:t>
            </w:r>
            <w:r>
              <w:t xml:space="preserve"> com o B3 ID preenchido</w:t>
            </w:r>
          </w:p>
        </w:tc>
      </w:tr>
      <w:tr>
        <w:tc>
          <w:tcPr>
            <w:tcW w:type="dxa" w:w="4968"/>
          </w:tcPr>
          <w:p>
            <w:r>
              <w:t>Não encontrada, e esperava retorno (New, Sent ou Error)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Error</w:t>
            </w:r>
          </w:p>
        </w:tc>
      </w:tr>
      <w:tr>
        <w:tc>
          <w:tcPr>
            <w:tcW w:type="dxa" w:w="4968"/>
          </w:tcPr>
          <w:p>
            <w:r>
              <w:t>Não encontrada, mas ainda não foi registrada (Approved ou Pending)</w:t>
            </w:r>
          </w:p>
        </w:tc>
        <w:tc>
          <w:tcPr>
            <w:tcW w:type="dxa" w:w="4968"/>
          </w:tcPr>
          <w:p>
            <w:r>
              <w:t>Permanece como está</w:t>
            </w:r>
          </w:p>
        </w:tc>
      </w:tr>
      <w:tr>
        <w:tc>
          <w:tcPr>
            <w:tcW w:type="dxa" w:w="4968"/>
          </w:tcPr>
          <w:p>
            <w:r>
              <w:t xml:space="preserve">Já era </w:t>
            </w:r>
            <w:r>
              <w:rPr>
                <w:b/>
              </w:rPr>
              <w:t>Success</w:t>
            </w:r>
            <w:r>
              <w:t xml:space="preserve"> com B3 ID</w:t>
            </w:r>
          </w:p>
        </w:tc>
        <w:tc>
          <w:tcPr>
            <w:tcW w:type="dxa" w:w="4968"/>
          </w:tcPr>
          <w:p>
            <w:r>
              <w:t>Não é alterada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mapeamento lê o dia inteiro</w:t>
      </w:r>
      <w:r>
        <w:rPr>
          <w:color w:val="1A3A5A"/>
        </w:rPr>
        <w:t>, inclusive o que não está visível na tela. Não é preciso limpar os filtros antes.</w:t>
      </w:r>
    </w:p>
    <w:p>
      <w:pPr>
        <w:pStyle w:val="Heading3"/>
      </w:pPr>
      <w:r>
        <w:rPr>
          <w:sz w:val="25"/>
        </w:rPr>
        <w:t>3.8. Gerar confirmações e e-mails</w:t>
      </w:r>
    </w:p>
    <w:p>
      <w:r>
        <w:t xml:space="preserve">Disponível em </w:t>
      </w:r>
      <w:r>
        <w:rPr>
          <w:b/>
        </w:rPr>
        <w:t>Opção FXO</w:t>
      </w:r>
      <w:r>
        <w:t xml:space="preserve">, </w:t>
      </w:r>
      <w:r>
        <w:rPr>
          <w:b/>
        </w:rPr>
        <w:t>Opção Commodities</w:t>
      </w:r>
      <w:r>
        <w:t xml:space="preserve"> e </w:t>
      </w:r>
      <w:r>
        <w:rPr>
          <w:b/>
        </w:rPr>
        <w:t>NDF Commodities</w:t>
      </w:r>
      <w:r>
        <w:t xml:space="preserve">. Os botões ficam ao lado do </w:t>
      </w:r>
      <w:r>
        <w:rPr>
          <w:b/>
        </w:rPr>
        <w:t>Show entries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fx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A confirmação da contraparte não é mais gerada aqui.</w:t>
      </w:r>
      <w:r>
        <w:rPr>
          <w:color w:val="1A3A5A"/>
        </w:rPr>
        <w:t xml:space="preserve"> O botão *Confirmation* saiu das telas de</w:t>
      </w:r>
    </w:p>
    <w:p>
      <w:pPr>
        <w:ind w:left="360"/>
        <w:shd w:val="clear" w:fill="EAF2FB"/>
      </w:pPr>
      <w:r>
        <w:rPr>
          <w:color w:val="1A3A5A"/>
        </w:rPr>
        <w:t xml:space="preserve">New Deals: gerar e validar viraram o mesmo trabalho, no mesmo lugar — o </w:t>
      </w:r>
      <w:r>
        <w:rPr>
          <w:b/>
          <w:color w:val="1A3A5A"/>
        </w:rPr>
        <w:t>Confirmations Monitor</w:t>
      </w:r>
    </w:p>
    <w:p>
      <w:pPr>
        <w:ind w:left="360"/>
        <w:shd w:val="clear" w:fill="EAF2FB"/>
      </w:pPr>
      <w:r>
        <w:rPr>
          <w:color w:val="1A3A5A"/>
        </w:rPr>
        <w:t>(item 3.11). Na prática você não perde nada: a confirmação continua nascendo só depois do registro</w:t>
      </w:r>
    </w:p>
    <w:p>
      <w:pPr>
        <w:ind w:left="360"/>
        <w:shd w:val="clear" w:fill="EAF2FB"/>
      </w:pPr>
      <w:r>
        <w:rPr>
          <w:color w:val="1A3A5A"/>
        </w:rPr>
        <w:t>na B3, e o documento é o mesmo. O que mudou é por onde se começa.</w:t>
      </w:r>
    </w:p>
    <w:p>
      <w:r>
        <w:rPr>
          <w:b/>
        </w:rPr>
        <w:t>Premium — aviso de pagamento de prêmio (D0)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.</w:t>
      </w:r>
    </w:p>
    <w:p>
      <w:pPr>
        <w:pStyle w:val="ListNumber"/>
      </w:pPr>
      <w:r>
        <w:t xml:space="preserve">O sistema seleciona as operações cuja </w:t>
      </w:r>
      <w:r>
        <w:rPr>
          <w:b/>
        </w:rPr>
        <w:t>Spot Date</w:t>
      </w:r>
      <w:r>
        <w:t xml:space="preserve"> (data de pagamento do prêmio) é o dia corrente.</w:t>
      </w:r>
    </w:p>
    <w:p>
      <w:pPr>
        <w:pStyle w:val="ListNumber"/>
      </w:pPr>
      <w:r>
        <w:t>Gera um e-mail por contraparte, já com os contatos de liquidação preenchidos.</w:t>
      </w:r>
    </w:p>
    <w:p>
      <w:r>
        <w:rPr>
          <w:b/>
        </w:rPr>
        <w:t>Econ. Affirmation — afirmação econômica</w:t>
      </w:r>
    </w:p>
    <w:p>
      <w:pPr>
        <w:pStyle w:val="ListNumber"/>
      </w:pPr>
      <w:r>
        <w:t xml:space="preserve">Clique em </w:t>
      </w:r>
      <w:r>
        <w:rPr>
          <w:b/>
        </w:rPr>
        <w:t>Econ. Affirmation</w:t>
      </w:r>
      <w:r>
        <w:t>.</w:t>
      </w:r>
    </w:p>
    <w:p>
      <w:pPr>
        <w:pStyle w:val="ListNumber"/>
      </w:pPr>
      <w:r>
        <w:t xml:space="preserve">Aplica-se às operações do dia contra </w:t>
      </w:r>
      <w:r>
        <w:rPr>
          <w:b/>
        </w:rPr>
        <w:t>instituições financeiras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commodit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3.9. Monitor — conferir se ficou algo pendente</w:t>
      </w:r>
    </w:p>
    <w:p>
      <w:r>
        <w:t xml:space="preserve">Caminho no menu: </w:t>
      </w:r>
      <w:r>
        <w:rPr>
          <w:b/>
        </w:rPr>
        <w:t>Products → Monitor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2717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-deals-mon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27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Como ler a tela:</w:t>
      </w:r>
    </w:p>
    <w:p>
      <w:pPr>
        <w:pStyle w:val="ListNumber"/>
      </w:pPr>
      <w:r>
        <w:t xml:space="preserve">Cada </w:t>
      </w:r>
      <w:r>
        <w:rPr>
          <w:b/>
        </w:rPr>
        <w:t>coluna</w:t>
      </w:r>
      <w:r>
        <w:t xml:space="preserve"> é uma etapa do processo: registro na B3, confirmação e Intrag.</w:t>
      </w:r>
    </w:p>
    <w:p>
      <w:pPr>
        <w:pStyle w:val="ListNumber"/>
      </w:pPr>
      <w:r>
        <w:t xml:space="preserve">Cada </w:t>
      </w:r>
      <w:r>
        <w:rPr>
          <w:b/>
        </w:rPr>
        <w:t>card</w:t>
      </w:r>
      <w:r>
        <w:t xml:space="preserve"> é um produto, com o total de operações da data de referência.</w:t>
      </w:r>
    </w:p>
    <w:p>
      <w:pPr>
        <w:pStyle w:val="ListNumber"/>
      </w:pPr>
      <w:r>
        <w:t xml:space="preserve">A </w:t>
      </w:r>
      <w:r>
        <w:rPr>
          <w:b/>
        </w:rPr>
        <w:t>cor do card</w:t>
      </w:r>
      <w:r>
        <w:t xml:space="preserve"> indica o progresso: vermelho quando nada foi resolvido, âmbar no meio do caminho e verde quando tudo está </w:t>
      </w:r>
      <w:r>
        <w:rPr>
          <w:b/>
        </w:rPr>
        <w:t>Success</w:t>
      </w:r>
      <w:r>
        <w:t>.</w:t>
      </w:r>
    </w:p>
    <w:p>
      <w:pPr>
        <w:pStyle w:val="ListNumber"/>
      </w:pPr>
      <w:r>
        <w:t>As etiquetas mostram a quebra por status e por entidade legal.</w:t>
      </w:r>
    </w:p>
    <w:p>
      <w:pPr>
        <w:pStyle w:val="ListNumber"/>
      </w:pPr>
      <w:r>
        <w:t xml:space="preserve">Clique em </w:t>
      </w:r>
      <w:r>
        <w:rPr>
          <w:b/>
        </w:rPr>
        <w:t>Open page</w:t>
      </w:r>
      <w:r>
        <w:t xml:space="preserve"> para ir direto à tela do produto.</w:t>
      </w:r>
    </w:p>
    <w:p>
      <w:pPr>
        <w:ind w:left="360"/>
        <w:shd w:val="clear" w:fill="EAF2FB"/>
      </w:pPr>
      <w:r>
        <w:rPr>
          <w:b/>
          <w:color w:val="1A3A5A"/>
        </w:rPr>
        <w:t>Todo dia, às 19h00 e às 19h30</w:t>
      </w:r>
      <w:r>
        <w:rPr>
          <w:color w:val="1A3A5A"/>
        </w:rPr>
        <w:t>, o sistema envia um e-mail para a caixa de operações com a lista do que ainda está pendente. Quando não há nada pendente, o e-mail não é enviado.</w:t>
      </w:r>
    </w:p>
    <w:p>
      <w:pPr>
        <w:pStyle w:val="Heading3"/>
      </w:pPr>
      <w:r>
        <w:rPr>
          <w:sz w:val="25"/>
        </w:rPr>
        <w:t>3.10. Pending Confirmation — acompanhar as confirmações</w:t>
      </w:r>
    </w:p>
    <w:p>
      <w:r>
        <w:t xml:space="preserve">Caminho no menu: </w:t>
      </w:r>
      <w:r>
        <w:rPr>
          <w:b/>
        </w:rPr>
        <w:t>Documentation → Pending Confirmation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59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nding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 tela lista as confirmações geradas e o estágio de cada uma.</w:t>
      </w:r>
    </w:p>
    <w:p>
      <w:pPr>
        <w:pStyle w:val="ListNumber"/>
      </w:pPr>
      <w:r>
        <w:t>Use os filtros por coluna para localizar uma contraparte ou um período.</w:t>
      </w:r>
    </w:p>
    <w:p>
      <w:pPr>
        <w:pStyle w:val="ListNumber"/>
      </w:pPr>
      <w:r>
        <w:t xml:space="preserve">As métricas de acompanhamento ficam em </w:t>
      </w:r>
      <w:r>
        <w:rPr>
          <w:b/>
        </w:rPr>
        <w:t>Metrics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0953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s-pending-confirm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095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3.11. Manual Confirmation — validar antes de enviar ao cliente</w:t>
      </w:r>
    </w:p>
    <w:p>
      <w:r>
        <w:t xml:space="preserve">Caminho no menu: </w:t>
      </w:r>
      <w:r>
        <w:rPr>
          <w:b/>
        </w:rPr>
        <w:t>Documentation → Manual Confirmation → Confirmations Monitor</w:t>
      </w:r>
      <w:r>
        <w:t xml:space="preserve"> (e </w:t>
      </w:r>
      <w:r>
        <w:rPr>
          <w:b/>
        </w:rPr>
        <w:t>Track Confirmations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511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nfirmation_monit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51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confirmação passa por uma esteira antes de sair: </w:t>
      </w:r>
      <w:r>
        <w:rPr>
          <w:b/>
        </w:rPr>
        <w:t>(Pending Legal) → Pending OTC → Pending MO e/ou FO → Pending FepWeb → Ok</w:t>
      </w:r>
      <w:r>
        <w:t xml:space="preserve">. Quem valida cada produto está cadastrado em </w:t>
      </w:r>
      <w:r>
        <w:rPr>
          <w:b/>
        </w:rPr>
        <w:t>Mapping → Manual Confirmations — Validation Trail</w:t>
      </w:r>
      <w:r>
        <w:t xml:space="preserve"> (Produto × LOB); MO e FO validam em paralelo, não em fila.</w:t>
      </w:r>
    </w:p>
    <w:p>
      <w:pPr>
        <w:pStyle w:val="ListNumber"/>
      </w:pPr>
      <w:r>
        <w:t xml:space="preserve">O </w:t>
      </w:r>
      <w:r>
        <w:rPr>
          <w:b/>
        </w:rPr>
        <w:t>Confirmations Monitor</w:t>
      </w:r>
      <w:r>
        <w:t xml:space="preserve"> tem </w:t>
      </w:r>
      <w:r>
        <w:rPr>
          <w:b/>
        </w:rPr>
        <w:t>cinco cards</w:t>
      </w:r>
      <w:r>
        <w:t>, um por etapa, com a fila de cada uma.</w:t>
      </w:r>
    </w:p>
    <w:p>
      <w:pPr>
        <w:pStyle w:val="ListNumber"/>
      </w:pPr>
      <w:r>
        <w:t xml:space="preserve">Cada item da fila é </w:t>
      </w:r>
      <w:r>
        <w:rPr>
          <w:b/>
        </w:rPr>
        <w:t>uma confirmação</w:t>
      </w:r>
      <w:r>
        <w:t>, não uma operação: o documento cobre todas as operações da mesma contraparte, produto, LOB e data de negociação, e o item diz quantas são.</w:t>
      </w:r>
    </w:p>
    <w:p>
      <w:pPr>
        <w:pStyle w:val="ListNumber"/>
      </w:pPr>
      <w:r>
        <w:rPr>
          <w:b/>
        </w:rPr>
        <w:t>Abrir</w:t>
      </w:r>
      <w:r>
        <w:t xml:space="preserve"> mostra o PDF que está gravado no Electronic Inventory — o papel que vai ao cliente.</w:t>
      </w:r>
    </w:p>
    <w:p>
      <w:pPr>
        <w:pStyle w:val="ListNumber"/>
      </w:pPr>
      <w:r>
        <w:rPr>
          <w:b/>
        </w:rPr>
        <w:t>Validar</w:t>
      </w:r>
      <w:r>
        <w:t xml:space="preserve"> carimba a etapa com a data, a hora e o SPN de quem validou, e a confirmação passa para a etapa seguinte.</w:t>
      </w:r>
    </w:p>
    <w:p>
      <w:pPr>
        <w:pStyle w:val="ListNumber"/>
      </w:pPr>
      <w:r>
        <w:rPr>
          <w:b/>
        </w:rPr>
        <w:t>Rejeitar</w:t>
      </w:r>
      <w:r>
        <w:t xml:space="preserve"> (MO e FO) pede um comentário, avisa o Brazil OTC Ops por e-mail e devolve a confirmação para o OTC. As validações já dadas são apagadas: o documento vai ser refeito.</w:t>
      </w:r>
    </w:p>
    <w:p>
      <w:r>
        <w:rPr>
          <w:b/>
        </w:rPr>
        <w:t>Gerar a confirmação — no card de Pending OTC</w:t>
      </w:r>
    </w:p>
    <w:p>
      <w:r>
        <w:t xml:space="preserve">Enquanto o documento ainda não foi gerado, o botão do item aparece como </w:t>
      </w:r>
      <w:r>
        <w:rPr>
          <w:b/>
        </w:rPr>
        <w:t>Generate</w:t>
      </w:r>
      <w:r>
        <w:t xml:space="preserve"> em vez de</w:t>
      </w:r>
    </w:p>
    <w:p>
      <w:r>
        <w:t>*Validate* (o sistema sabe disso porque não há PDF na pasta da contraparte). O ciclo inteiro acontece</w:t>
      </w:r>
    </w:p>
    <w:p>
      <w:r>
        <w:t>a partir daí: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Abre uma aba nova com a confirmação já preenchida.</w:t>
      </w:r>
    </w:p>
    <w:p>
      <w:pPr>
        <w:pStyle w:val="ListNumber"/>
      </w:pPr>
      <w:r>
        <w:t xml:space="preserve">Revise o documento. O único botão é </w:t>
      </w:r>
      <w:r>
        <w:rPr>
          <w:b/>
        </w:rPr>
        <w:t>💾 Salvar Word + PDF no Inventory</w:t>
      </w:r>
      <w:r>
        <w:t xml:space="preserve"> — ele grava o Word, o</w:t>
      </w:r>
    </w:p>
    <w:p>
      <w:r>
        <w:t xml:space="preserve">   PDF e o XML na pasta da contraparte.</w:t>
      </w:r>
    </w:p>
    <w:p>
      <w:pPr>
        <w:pStyle w:val="ListNumber"/>
      </w:pPr>
      <w:r>
        <w:t xml:space="preserve">Gravado, a </w:t>
      </w:r>
      <w:r>
        <w:rPr>
          <w:b/>
        </w:rPr>
        <w:t>tela de validação abre na sequência</w:t>
      </w:r>
      <w:r>
        <w:t>, com o PDF de um lado e o checklist do outro.</w:t>
      </w:r>
    </w:p>
    <w:p>
      <w:r>
        <w:t xml:space="preserve">   Validando ali, a confirmação segue para MO e/ou FO normalmente.</w:t>
      </w:r>
    </w:p>
    <w:p>
      <w:pPr>
        <w:pStyle w:val="ListNumber"/>
      </w:pPr>
      <w:r>
        <w:t xml:space="preserve">Se você fechar sem validar, nada se perde: a confirmação </w:t>
      </w:r>
      <w:r>
        <w:rPr>
          <w:b/>
        </w:rPr>
        <w:t>continua em Pending OTC</w:t>
      </w:r>
      <w:r>
        <w:t>, agora com o</w:t>
      </w:r>
    </w:p>
    <w:p>
      <w:r>
        <w:t xml:space="preserve">   documento na pasta, e o botão do card volta a ser </w:t>
      </w:r>
      <w:r>
        <w:rPr>
          <w:b/>
        </w:rPr>
        <w:t>Validate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Só o OTC gera.</w:t>
      </w:r>
      <w:r>
        <w:rPr>
          <w:color w:val="1A3A5A"/>
        </w:rPr>
        <w:t xml:space="preserve"> Nos cards de MO e FO, uma confirmação sem documento na pasta continua com o</w:t>
      </w:r>
    </w:p>
    <w:p>
      <w:pPr>
        <w:ind w:left="360"/>
        <w:shd w:val="clear" w:fill="EAF2FB"/>
      </w:pPr>
      <w:r>
        <w:rPr>
          <w:color w:val="1A3A5A"/>
        </w:rPr>
        <w:t>botão riscado — essas mesas conferem o papel, não o produzem.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Se o Generate abrir uma tela de erro, ela diz </w:t>
      </w:r>
      <w:r>
        <w:rPr>
          <w:b/>
          <w:color w:val="1A3A5A"/>
        </w:rPr>
        <w:t>qual</w:t>
      </w:r>
      <w:r>
        <w:rPr>
          <w:color w:val="1A3A5A"/>
        </w:rPr>
        <w:t xml:space="preserve"> é o problema: o produto não tem tela de</w:t>
      </w:r>
    </w:p>
    <w:p>
      <w:pPr>
        <w:ind w:left="360"/>
        <w:shd w:val="clear" w:fill="EAF2FB"/>
      </w:pPr>
      <w:r>
        <w:rPr>
          <w:color w:val="1A3A5A"/>
        </w:rPr>
        <w:t>geração no sistema, a linha está sem *Trade Date*, ou a operação não está no arquivo do dia</w:t>
      </w:r>
    </w:p>
    <w:p>
      <w:pPr>
        <w:ind w:left="360"/>
        <w:shd w:val="clear" w:fill="EAF2FB"/>
      </w:pPr>
      <w:r>
        <w:rPr>
          <w:color w:val="1A3A5A"/>
        </w:rPr>
        <w:t>daquela data. Os três pedem ações diferentes.</w:t>
      </w:r>
    </w:p>
    <w:p>
      <w:r>
        <w:t>As duas pontas da esteira não são de validação:</w:t>
      </w:r>
    </w:p>
    <w:p>
      <w:pPr>
        <w:pStyle w:val="ListBullet"/>
      </w:pPr>
      <w:r>
        <w:rPr>
          <w:b/>
        </w:rPr>
        <w:t>Pending Legal</w:t>
      </w:r>
      <w:r>
        <w:t xml:space="preserve"> é um </w:t>
      </w:r>
      <w:r>
        <w:rPr>
          <w:b/>
        </w:rPr>
        <w:t>hold manual</w:t>
      </w:r>
      <w:r>
        <w:t xml:space="preserve">: enquanto a confirmação estiver nele, ela não anda, mesmo com as validações em dia. O card tem o botão de </w:t>
      </w:r>
      <w:r>
        <w:rPr>
          <w:b/>
        </w:rPr>
        <w:t>soltar</w:t>
      </w:r>
      <w:r>
        <w:t>, que devolve a confirmação para a fila do OTC.</w:t>
      </w:r>
    </w:p>
    <w:p>
      <w:pPr>
        <w:pStyle w:val="ListBullet"/>
      </w:pPr>
      <w:r>
        <w:rPr>
          <w:b/>
        </w:rPr>
        <w:t>Pending FepWeb</w:t>
      </w:r>
      <w:r>
        <w:t xml:space="preserve"> é </w:t>
      </w:r>
      <w:r>
        <w:rPr>
          <w:b/>
        </w:rPr>
        <w:t>derivado</w:t>
      </w:r>
      <w:r>
        <w:t xml:space="preserve">, nunca digitado: as validações estão feitas e falta </w:t>
      </w:r>
      <w:r>
        <w:rPr>
          <w:b/>
        </w:rPr>
        <w:t>enviar ao cliente</w:t>
      </w:r>
      <w:r>
        <w:t xml:space="preserve">. A confirmação só chega a </w:t>
      </w:r>
      <w:r>
        <w:rPr>
          <w:b/>
        </w:rPr>
        <w:t>Ok</w:t>
      </w:r>
      <w:r>
        <w:t xml:space="preserve"> com a coluna *Enviado p/ cliente* preenchida — é o que o botão desse card faz.</w:t>
      </w:r>
    </w:p>
    <w:p>
      <w:pPr>
        <w:pStyle w:val="ListBullet"/>
      </w:pPr>
      <w:r>
        <w:t xml:space="preserve">Escrever </w:t>
      </w:r>
      <w:r>
        <w:rPr>
          <w:b/>
        </w:rPr>
        <w:t>Pending OTC</w:t>
      </w:r>
      <w:r>
        <w:t xml:space="preserve"> à mão no Track Confirmations </w:t>
      </w:r>
      <w:r>
        <w:rPr>
          <w:b/>
        </w:rPr>
        <w:t>reabre a esteira</w:t>
      </w:r>
      <w:r>
        <w:t xml:space="preserve">: é o que se faz quando a confirmação foi </w:t>
      </w:r>
      <w:r>
        <w:rPr>
          <w:b/>
        </w:rPr>
        <w:t>regerada</w:t>
      </w:r>
      <w:r>
        <w:t xml:space="preserve"> depois de validada. O sistema apaga as três validações e o envio ao cliente (os comentários ficam), e as três mesas conferem o documento novo. Como isso desfaz validação alheia, a gravação exige a mesa de </w:t>
      </w:r>
      <w:r>
        <w:rPr>
          <w:b/>
        </w:rPr>
        <w:t>OTC Ops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esteira é espelhada na página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a cada gravação, então as duas telas contam a mesma coisa.</w:t>
      </w:r>
    </w:p>
    <w:p>
      <w:pPr>
        <w:ind w:left="360"/>
        <w:shd w:val="clear" w:fill="EAF2FB"/>
      </w:pPr>
      <w:r>
        <w:rPr>
          <w:b/>
          <w:color w:val="1A3A5A"/>
        </w:rPr>
        <w:t>Cada etapa é assinada pela mesa dela.</w:t>
      </w:r>
      <w:r>
        <w:rPr>
          <w:color w:val="1A3A5A"/>
        </w:rPr>
        <w:t xml:space="preserve"> Pending OTC é do </w:t>
      </w:r>
      <w:r>
        <w:rPr>
          <w:b/>
          <w:color w:val="1A3A5A"/>
        </w:rPr>
        <w:t>Back Office</w:t>
      </w:r>
      <w:r>
        <w:rPr>
          <w:color w:val="1A3A5A"/>
        </w:rPr>
        <w:t xml:space="preserve">, Pending MO do </w:t>
      </w:r>
      <w:r>
        <w:rPr>
          <w:b/>
          <w:color w:val="1A3A5A"/>
        </w:rPr>
        <w:t>MO</w:t>
      </w:r>
      <w:r>
        <w:rPr>
          <w:color w:val="1A3A5A"/>
        </w:rPr>
        <w:t xml:space="preserve"> e Pending FO do </w:t>
      </w:r>
      <w:r>
        <w:rPr>
          <w:b/>
          <w:color w:val="1A3A5A"/>
        </w:rPr>
        <w:t>FO</w:t>
      </w:r>
      <w:r>
        <w:rPr>
          <w:color w:val="1A3A5A"/>
        </w:rPr>
        <w:t xml:space="preserve"> — o papel vem do seu cadastro em *Users &amp; Roles*. Quem não é da mesa continua abrindo a confirmação e lendo o documento, mas o botão do card aparece como </w:t>
      </w:r>
      <w:r>
        <w:rPr>
          <w:b/>
          <w:color w:val="1A3A5A"/>
        </w:rPr>
        <w:t>View</w:t>
      </w:r>
      <w:r>
        <w:rPr>
          <w:color w:val="1A3A5A"/>
        </w:rPr>
        <w:t xml:space="preserve"> e a tela de validação não mostra o *Validar* nem o *Devolver ao OTC*.</w:t>
      </w:r>
    </w:p>
    <w:p>
      <w:r>
        <w:rPr>
          <w:b/>
        </w:rPr>
        <w:t>O prazo de cada mesa</w:t>
      </w:r>
      <w:r>
        <w:t xml:space="preserve"> (dias úteis contados da data da operação) é cadastrável em </w:t>
      </w:r>
      <w:r>
        <w:rPr>
          <w:b/>
        </w:rPr>
        <w:t>Mapping → Manual Confirmations — SLA</w:t>
      </w:r>
      <w:r>
        <w:t>: OTC D+3, MO D+4 e FO D+6 de fábrica. Os prazos não se somam — MO e FO correm em paralelo, os dois contados da mesma data de operação. Validar depois do prazo exige uma justificativa, que fica gravada na coluna daquela mesa.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9408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nfirmation_trac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9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</w:t>
      </w:r>
      <w:r>
        <w:rPr>
          <w:b/>
        </w:rPr>
        <w:t>Track Confirmations</w:t>
      </w:r>
      <w:r>
        <w:t xml:space="preserve"> é a base inteira: filtro por coluna, atualização em massa por coluna, exportação do que estiver na tela (com o filtro e a ordenação aplicados) e os cards do topo funcionando como filtro por etapa. Ela abre ordenada pelo </w:t>
      </w:r>
      <w:r>
        <w:rPr>
          <w:b/>
        </w:rPr>
        <w:t>Aging</w:t>
      </w:r>
      <w:r>
        <w:t>, do menor para o maior.</w:t>
      </w:r>
    </w:p>
    <w:p>
      <w:pPr>
        <w:pStyle w:val="ListBullet"/>
      </w:pPr>
      <w:r>
        <w:rPr>
          <w:b/>
        </w:rPr>
        <w:t>Os títulos das colunas estão em inglês</w:t>
      </w:r>
      <w:r>
        <w:t xml:space="preserve"> e acompanham o idioma escolhido no topo da página, como</w:t>
      </w:r>
    </w:p>
    <w:p>
      <w:r>
        <w:t xml:space="preserve">  o resto do sistema: *Settlement Date*, *Trade Date*, *Underlying Asset*, *Notional/Qty*,</w:t>
      </w:r>
    </w:p>
    <w:p>
      <w:r>
        <w:t xml:space="preserve">  *Counterparty*, *Aging*.</w:t>
      </w:r>
    </w:p>
    <w:p>
      <w:pPr>
        <w:pStyle w:val="ListBullet"/>
      </w:pPr>
      <w:r>
        <w:rPr>
          <w:b/>
        </w:rPr>
        <w:t>`Notional Amount CCY`</w:t>
      </w:r>
      <w:r>
        <w:t xml:space="preserve"> (ao lado de *Notional/Qty*) mostra a </w:t>
      </w:r>
      <w:r>
        <w:rPr>
          <w:b/>
        </w:rPr>
        <w:t>moeda</w:t>
      </w:r>
      <w:r>
        <w:t xml:space="preserve"> do notional junto com o</w:t>
      </w:r>
    </w:p>
    <w:p>
      <w:r>
        <w:t xml:space="preserve">  valor — </w:t>
      </w:r>
      <w:r>
        <w:rPr>
          <w:rFonts w:ascii="Consolas" w:hAnsi="Consolas"/>
          <w:color w:val="B03060"/>
        </w:rPr>
        <w:t>USD 1.500.000,00</w:t>
      </w:r>
      <w:r>
        <w:t>. Ela é preenchida sozinha quando a operação é mapeada, e é diferente do</w:t>
      </w:r>
    </w:p>
    <w:p>
      <w:r>
        <w:t xml:space="preserve">  *Underlying Asset* ao lado: em mercadoria, aquele traz a commodity (OLEO, PLATTS), que não é moeda.</w:t>
      </w:r>
    </w:p>
    <w:p>
      <w:r>
        <w:t xml:space="preserve">  Operações mapeadas antes desta coluna existir aparecem em branco.</w:t>
      </w:r>
    </w:p>
    <w:p>
      <w:pPr>
        <w:pStyle w:val="ListBullet"/>
      </w:pPr>
      <w:r>
        <w:rPr>
          <w:b/>
        </w:rPr>
        <w:t>Digite `blank` num campo de filtro</w:t>
      </w:r>
      <w:r>
        <w:t xml:space="preserve"> para listar as linhas em que aquela coluna está </w:t>
      </w:r>
      <w:r>
        <w:rPr>
          <w:b/>
        </w:rPr>
        <w:t>vazia</w:t>
      </w:r>
      <w:r>
        <w:t xml:space="preserve"> —</w:t>
      </w:r>
    </w:p>
    <w:p>
      <w:r>
        <w:t xml:space="preserve">  é assim que se acha, por exemplo, tudo que ainda está sem *Callback Date*. A palavra só vale</w:t>
      </w:r>
    </w:p>
    <w:p>
      <w:r>
        <w:t xml:space="preserve">  sozinha no campo; escrevendo mais que isso, o filtro procura o texto normalmente.</w:t>
      </w:r>
    </w:p>
    <w:p>
      <w:pPr>
        <w:ind w:left="360"/>
        <w:shd w:val="clear" w:fill="EAF2FB"/>
      </w:pPr>
      <w:r>
        <w:rPr>
          <w:color w:val="1A3A5A"/>
        </w:rPr>
        <w:t xml:space="preserve">As operações de </w:t>
      </w:r>
      <w:r>
        <w:rPr>
          <w:b/>
          <w:color w:val="1A3A5A"/>
        </w:rPr>
        <w:t>NDF Commodities, Opção de Commodities, FXO e NDF FWD Start</w:t>
      </w:r>
      <w:r>
        <w:rPr>
          <w:color w:val="1A3A5A"/>
        </w:rPr>
        <w:t xml:space="preserve"> entram nesta esteira sozinhas, assim que são mapeadas no New Deals — antes mesmo de o documento existir. É por isso que elas aparecem no card de *Pending OTC* já com o botão </w:t>
      </w:r>
      <w:r>
        <w:rPr>
          <w:b/>
          <w:color w:val="1A3A5A"/>
        </w:rPr>
        <w:t>Generate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A fila parada é cobrada por e-mail.</w:t>
      </w:r>
      <w:r>
        <w:rPr>
          <w:color w:val="1A3A5A"/>
        </w:rPr>
        <w:t xml:space="preserve"> O card *Confirmations Escalation* do </w:t>
      </w:r>
      <w:r>
        <w:rPr>
          <w:b/>
          <w:color w:val="1A3A5A"/>
        </w:rPr>
        <w:t>Control Panel</w:t>
      </w:r>
      <w:r>
        <w:rPr>
          <w:color w:val="1A3A5A"/>
        </w:rPr>
        <w:t xml:space="preserve"> manda o que está pendente de validação para o OTC, para o Sales Support e para o Front Office (um e-mail por produto), toda segunda e quinta, e diariamente quando alguma operação está no último dia do prazo ou já vencida. Ver o item 3.15.</w:t>
      </w:r>
    </w:p>
    <w:p>
      <w:pPr>
        <w:pStyle w:val="Heading3"/>
      </w:pPr>
      <w:r>
        <w:rPr>
          <w:sz w:val="25"/>
        </w:rPr>
        <w:t>3.12. Reference Data — cadastrar contrapartes</w:t>
      </w:r>
    </w:p>
    <w:p>
      <w:r>
        <w:t xml:space="preserve">Caminho no menu: </w:t>
      </w:r>
      <w:r>
        <w:rPr>
          <w:b/>
        </w:rPr>
        <w:t>Data Base → Reference Data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21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dat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Localize a contraparte pelo </w:t>
      </w:r>
      <w:r>
        <w:rPr>
          <w:b/>
        </w:rPr>
        <w:t>SPN</w:t>
      </w:r>
      <w:r>
        <w:t xml:space="preserve"> ou pelo nome.</w:t>
      </w:r>
    </w:p>
    <w:p>
      <w:pPr>
        <w:pStyle w:val="ListNumber"/>
      </w:pPr>
      <w:r>
        <w:t xml:space="preserve">Dê </w:t>
      </w:r>
      <w:r>
        <w:rPr>
          <w:b/>
        </w:rPr>
        <w:t>duplo clique na linha</w:t>
      </w:r>
      <w:r>
        <w:t xml:space="preserve"> para abrir o editor de detalhes: conta CETIP, dados bancários e contatos.</w:t>
      </w:r>
    </w:p>
    <w:p>
      <w:pPr>
        <w:pStyle w:val="ListNumber"/>
      </w:pPr>
      <w:r>
        <w:t xml:space="preserve">Para uma contraparte nova, cadastre-a com o </w:t>
      </w:r>
      <w:r>
        <w:rPr>
          <w:b/>
        </w:rPr>
        <w:t>accronym exatamente igual ao que a API envia</w:t>
      </w:r>
      <w:r>
        <w:t xml:space="preserve"> no campo *End Counterparty*.</w:t>
      </w:r>
    </w:p>
    <w:p>
      <w:pPr>
        <w:ind w:left="360"/>
        <w:shd w:val="clear" w:fill="EAF2FB"/>
      </w:pPr>
      <w:r>
        <w:rPr>
          <w:b/>
          <w:color w:val="1A3A5A"/>
        </w:rPr>
        <w:t>Este é o ponto mais importante do cadastro.</w:t>
      </w:r>
      <w:r>
        <w:rPr>
          <w:color w:val="1A3A5A"/>
        </w:rPr>
        <w:t xml:space="preserve"> O sistema identifica a contraparte pelo </w:t>
      </w:r>
      <w:r>
        <w:rPr>
          <w:b/>
          <w:color w:val="1A3A5A"/>
        </w:rPr>
        <w:t>accronym</w:t>
      </w:r>
      <w:r>
        <w:rPr>
          <w:color w:val="1A3A5A"/>
        </w:rPr>
        <w:t xml:space="preserve">, e não pelo SPN que a API envia. Accronym errado ou ausente resulta em linha marcada como </w:t>
      </w:r>
      <w:r>
        <w:rPr>
          <w:b/>
          <w:color w:val="1A3A5A"/>
        </w:rPr>
        <w:t>Missing Counterparty</w:t>
      </w:r>
      <w:r>
        <w:rPr>
          <w:color w:val="1A3A5A"/>
        </w:rPr>
        <w:t>.</w:t>
      </w:r>
    </w:p>
    <w:p>
      <w:pPr>
        <w:pStyle w:val="Heading3"/>
      </w:pPr>
      <w:r>
        <w:rPr>
          <w:sz w:val="25"/>
        </w:rPr>
        <w:t>3.13. Mapping — cadastrar de-para</w:t>
      </w:r>
    </w:p>
    <w:p>
      <w:r>
        <w:t xml:space="preserve">Caminho no menu: </w:t>
      </w:r>
      <w:r>
        <w:rPr>
          <w:b/>
        </w:rPr>
        <w:t>Data Base → Mapping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Esta é a tela onde se cadastra qualquer tradução entre o código de um sistema e o de outro. </w:t>
      </w:r>
      <w:r>
        <w:rPr>
          <w:b/>
        </w:rPr>
        <w:t>Nada disso fica no código</w:t>
      </w:r>
      <w:r>
        <w:t xml:space="preserve"> — tudo é cadastrável aqui.</w:t>
      </w:r>
    </w:p>
    <w:p>
      <w:pPr>
        <w:pStyle w:val="ListNumber"/>
      </w:pPr>
      <w:r>
        <w:t xml:space="preserve">Escolha o </w:t>
      </w:r>
      <w:r>
        <w:rPr>
          <w:b/>
        </w:rPr>
        <w:t>tipo de mapeamento</w:t>
      </w:r>
      <w:r>
        <w:t xml:space="preserve"> nas abas do topo.</w:t>
      </w:r>
    </w:p>
    <w:p>
      <w:pPr>
        <w:pStyle w:val="ListNumber"/>
      </w:pPr>
      <w:r>
        <w:t xml:space="preserve">Clique em </w:t>
      </w:r>
      <w:r>
        <w:rPr>
          <w:b/>
        </w:rPr>
        <w:t>Add</w:t>
      </w:r>
      <w:r>
        <w:t xml:space="preserve"> para cadastrar um novo registro, ou no botão de edição para alterar um existente.</w:t>
      </w:r>
    </w:p>
    <w:p>
      <w:pPr>
        <w:pStyle w:val="ListNumber"/>
      </w:pPr>
      <w:r>
        <w:t>Preencha os campos e salve.</w:t>
      </w:r>
    </w:p>
    <w:p>
      <w:r>
        <w:t>Tipos disponíveis: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Currency Base</w:t>
            </w:r>
          </w:p>
        </w:tc>
        <w:tc>
          <w:tcPr>
            <w:tcW w:type="dxa" w:w="4968"/>
          </w:tcPr>
          <w:p>
            <w:r>
              <w:t>Códigos e características das moedas</w:t>
            </w:r>
          </w:p>
        </w:tc>
      </w:tr>
      <w:tr>
        <w:tc>
          <w:tcPr>
            <w:tcW w:type="dxa" w:w="4968"/>
          </w:tcPr>
          <w:p>
            <w:r>
              <w:t>Interbook API (NDF)</w:t>
            </w:r>
          </w:p>
        </w:tc>
        <w:tc>
          <w:tcPr>
            <w:tcW w:type="dxa" w:w="4968"/>
          </w:tcPr>
          <w:p>
            <w:r>
              <w:t>Pares de books internos que não são negócio de cliente</w:t>
            </w:r>
          </w:p>
        </w:tc>
      </w:tr>
      <w:tr>
        <w:tc>
          <w:tcPr>
            <w:tcW w:type="dxa" w:w="4968"/>
          </w:tcPr>
          <w:p>
            <w:r>
              <w:t>Commodities × B3</w:t>
            </w:r>
          </w:p>
        </w:tc>
        <w:tc>
          <w:tcPr>
            <w:tcW w:type="dxa" w:w="4968"/>
          </w:tcPr>
          <w:p>
            <w:r>
              <w:t>Código da mercadoria no sistema e na B3</w:t>
            </w:r>
          </w:p>
        </w:tc>
      </w:tr>
      <w:tr>
        <w:tc>
          <w:tcPr>
            <w:tcW w:type="dxa" w:w="4968"/>
          </w:tcPr>
          <w:p>
            <w:r>
              <w:t>Publisher × B3 (NDF)</w:t>
            </w:r>
          </w:p>
        </w:tc>
        <w:tc>
          <w:tcPr>
            <w:tcW w:type="dxa" w:w="4968"/>
          </w:tcPr>
          <w:p>
            <w:r>
              <w:t>Fonte de informação e tela de consulta</w:t>
            </w:r>
          </w:p>
        </w:tc>
      </w:tr>
      <w:tr>
        <w:tc>
          <w:tcPr>
            <w:tcW w:type="dxa" w:w="4968"/>
          </w:tcPr>
          <w:p>
            <w:r>
              <w:t>Legal Entity × Accronym</w:t>
            </w:r>
          </w:p>
        </w:tc>
        <w:tc>
          <w:tcPr>
            <w:tcW w:type="dxa" w:w="4968"/>
          </w:tcPr>
          <w:p>
            <w:r>
              <w:t>Entidade legal de cada accronym e settlement location</w:t>
            </w:r>
          </w:p>
        </w:tc>
      </w:tr>
      <w:tr>
        <w:tc>
          <w:tcPr>
            <w:tcW w:type="dxa" w:w="4968"/>
          </w:tcPr>
          <w:p>
            <w:r>
              <w:t>Bank Name</w:t>
            </w:r>
          </w:p>
        </w:tc>
        <w:tc>
          <w:tcPr>
            <w:tcW w:type="dxa" w:w="4968"/>
          </w:tcPr>
          <w:p>
            <w:r>
              <w:t>Nome dos bancos</w:t>
            </w:r>
          </w:p>
        </w:tc>
      </w:tr>
      <w:tr>
        <w:tc>
          <w:tcPr>
            <w:tcW w:type="dxa" w:w="4968"/>
          </w:tcPr>
          <w:p>
            <w:r>
              <w:t>FXO Conversion Rate</w:t>
            </w:r>
          </w:p>
        </w:tc>
        <w:tc>
          <w:tcPr>
            <w:tcW w:type="dxa" w:w="4968"/>
          </w:tcPr>
          <w:p>
            <w:r>
              <w:t>Taxa de conversão por moeda base</w:t>
            </w:r>
          </w:p>
        </w:tc>
      </w:tr>
      <w:tr>
        <w:tc>
          <w:tcPr>
            <w:tcW w:type="dxa" w:w="4968"/>
          </w:tcPr>
          <w:p>
            <w:r>
              <w:t>Swap Curves (Athena × B3)</w:t>
            </w:r>
          </w:p>
        </w:tc>
        <w:tc>
          <w:tcPr>
            <w:tcW w:type="dxa" w:w="4968"/>
          </w:tcPr>
          <w:p>
            <w:r>
              <w:t>Curvas de swap</w:t>
            </w:r>
          </w:p>
        </w:tc>
      </w:tr>
      <w:tr>
        <w:tc>
          <w:tcPr>
            <w:tcW w:type="dxa" w:w="4968"/>
          </w:tcPr>
          <w:p>
            <w:r>
              <w:t>B3 Accounts</w:t>
            </w:r>
          </w:p>
        </w:tc>
        <w:tc>
          <w:tcPr>
            <w:tcW w:type="dxa" w:w="4968"/>
          </w:tcPr>
          <w:p>
            <w:r>
              <w:t>As contas da B3 de cada entidade nossa — LE, Nome Simplificado, conta e tipo</w:t>
            </w:r>
          </w:p>
        </w:tc>
      </w:tr>
      <w:tr>
        <w:tc>
          <w:tcPr>
            <w:tcW w:type="dxa" w:w="4968"/>
          </w:tcPr>
          <w:p>
            <w:r>
              <w:t>Quotes — Equities</w:t>
            </w:r>
          </w:p>
        </w:tc>
        <w:tc>
          <w:tcPr>
            <w:tcW w:type="dxa" w:w="4968"/>
          </w:tcPr>
          <w:p>
            <w:r>
              <w:t>Código do ativo subjacente → símbolo de mercado (item 3.18)</w:t>
            </w:r>
          </w:p>
        </w:tc>
      </w:tr>
      <w:tr>
        <w:tc>
          <w:tcPr>
            <w:tcW w:type="dxa" w:w="4968"/>
          </w:tcPr>
          <w:p>
            <w:r>
              <w:t>Quotes — Commodities</w:t>
            </w:r>
          </w:p>
        </w:tc>
        <w:tc>
          <w:tcPr>
            <w:tcW w:type="dxa" w:w="4968"/>
          </w:tcPr>
          <w:p>
            <w:r>
              <w:t>Código da mercadoria → símbolo de mercado (item 3.18)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B3 Accounts</w:t>
      </w:r>
      <w:r>
        <w:rPr>
          <w:color w:val="1A3A5A"/>
        </w:rPr>
        <w:t xml:space="preserve"> responde a duas perguntas de uma vez, e por isso o </w:t>
      </w:r>
      <w:r>
        <w:rPr>
          <w:b/>
          <w:color w:val="1A3A5A"/>
        </w:rPr>
        <w:t>Account Type</w:t>
      </w:r>
      <w:r>
        <w:rPr>
          <w:color w:val="1A3A5A"/>
        </w:rPr>
        <w:t xml:space="preserve"> não é enfeite: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- </w:t>
      </w:r>
      <w:r>
        <w:rPr>
          <w:b/>
          <w:color w:val="1A3A5A"/>
        </w:rPr>
        <w:t>OWN</w:t>
      </w:r>
      <w:r>
        <w:rPr>
          <w:color w:val="1A3A5A"/>
        </w:rPr>
        <w:t xml:space="preserve"> é a conta própria da entidade — a posição da casa.</w:t>
      </w:r>
    </w:p>
    <w:p>
      <w:pPr>
        <w:ind w:left="360"/>
        <w:shd w:val="clear" w:fill="EAF2FB"/>
      </w:pPr>
      <w:r>
        <w:rPr>
          <w:color w:val="1A3A5A"/>
        </w:rPr>
        <w:t xml:space="preserve">- </w:t>
      </w:r>
      <w:r>
        <w:rPr>
          <w:b/>
          <w:color w:val="1A3A5A"/>
        </w:rPr>
        <w:t>CLIENT 1</w:t>
      </w:r>
      <w:r>
        <w:rPr>
          <w:color w:val="1A3A5A"/>
        </w:rPr>
        <w:t xml:space="preserve"> e </w:t>
      </w:r>
      <w:r>
        <w:rPr>
          <w:b/>
          <w:color w:val="1A3A5A"/>
        </w:rPr>
        <w:t>CLIENT 2</w:t>
      </w:r>
      <w:r>
        <w:rPr>
          <w:color w:val="1A3A5A"/>
        </w:rPr>
        <w:t xml:space="preserve"> são contas guarda-chuva: nelas o nome que vem da B3 é o do </w:t>
      </w:r>
      <w:r>
        <w:rPr>
          <w:b/>
          <w:color w:val="1A3A5A"/>
        </w:rPr>
        <w:t>titular do guarda-chuva</w:t>
      </w:r>
      <w:r>
        <w:rPr>
          <w:color w:val="1A3A5A"/>
        </w:rPr>
        <w:t xml:space="preserve">, não o do cliente, e o sistema descobre o cliente pelo </w:t>
      </w:r>
      <w:r>
        <w:rPr>
          <w:b/>
          <w:color w:val="1A3A5A"/>
        </w:rPr>
        <w:t>CNPJ</w:t>
      </w:r>
      <w:r>
        <w:rPr>
          <w:color w:val="1A3A5A"/>
        </w:rPr>
        <w:t>. Cadastrar uma conta de cliente como *OWN* faz o aviso de liquidação sair endereçado ao titular, com tudo preenchido e parecendo certo.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Simplified Name</w:t>
      </w:r>
      <w:r>
        <w:rPr>
          <w:color w:val="1A3A5A"/>
        </w:rPr>
        <w:t xml:space="preserve"> é o nome que vai no campo *Participante* do cabeçalho dos arquivos de registro enviados à B3. Entidade sem esse nome cadastrado faz o envio parar com uma mensagem dizendo qual entidade falta — em vez de mandar um arquivo com o campo em branco.</w:t>
      </w:r>
    </w:p>
    <w:p>
      <w:pPr>
        <w:ind w:left="360"/>
        <w:shd w:val="clear" w:fill="EAF2FB"/>
      </w:pPr>
      <w:r>
        <w:rPr>
          <w:b/>
          <w:color w:val="1A3A5A"/>
        </w:rPr>
        <w:t>Mapping não exige reinício do sistema.</w:t>
      </w:r>
      <w:r>
        <w:rPr>
          <w:color w:val="1A3A5A"/>
        </w:rPr>
        <w:t xml:space="preserve"> A alteração vale já na próxima tela que você abrir.</w:t>
      </w:r>
    </w:p>
    <w:p>
      <w:pPr>
        <w:pStyle w:val="Heading3"/>
      </w:pPr>
      <w:r>
        <w:rPr>
          <w:sz w:val="25"/>
        </w:rPr>
        <w:t>3.14. Index B3 — cadastrar ativos</w:t>
      </w:r>
    </w:p>
    <w:p>
      <w:r>
        <w:t xml:space="preserve">Caminho no menu: </w:t>
      </w:r>
      <w:r>
        <w:rPr>
          <w:b/>
        </w:rPr>
        <w:t>Data Base → Index B3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-b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Aqui ficam os ativos subjacentes aceitos pela B3. Um ativo não cadastrado impede a aprovação da operação que o utiliza.</w:t>
      </w:r>
    </w:p>
    <w:p>
      <w:pPr>
        <w:ind w:left="360"/>
        <w:shd w:val="clear" w:fill="EAF2FB"/>
      </w:pPr>
      <w:r>
        <w:rPr>
          <w:b/>
          <w:color w:val="1A3A5A"/>
        </w:rPr>
        <w:t>Cadastrou o ativo com a operação já importada?</w:t>
      </w:r>
      <w:r>
        <w:rPr>
          <w:color w:val="1A3A5A"/>
        </w:rPr>
        <w:t xml:space="preserve"> Volte à tela de New Deals e use o </w:t>
      </w:r>
      <w:r>
        <w:rPr>
          <w:b/>
          <w:color w:val="1A3A5A"/>
        </w:rPr>
        <w:t>Reload Data</w:t>
      </w:r>
      <w:r>
        <w:rPr>
          <w:color w:val="1A3A5A"/>
        </w:rPr>
        <w:t xml:space="preserve"> (ele aparece no aviso *Asset Not Registered*). O selo *Missing Index B3* sai, e as colunas que dependem do cadastro — </w:t>
      </w:r>
      <w:r>
        <w:rPr>
          <w:b/>
          <w:color w:val="1A3A5A"/>
        </w:rPr>
        <w:t>Commodities</w:t>
      </w:r>
      <w:r>
        <w:rPr>
          <w:color w:val="1A3A5A"/>
        </w:rPr>
        <w:t xml:space="preserve"> e </w:t>
      </w:r>
      <w:r>
        <w:rPr>
          <w:b/>
          <w:color w:val="1A3A5A"/>
        </w:rPr>
        <w:t>Quoted in Cents</w:t>
      </w:r>
      <w:r>
        <w:rPr>
          <w:color w:val="1A3A5A"/>
        </w:rPr>
        <w:t xml:space="preserve"> — passam a mostrar o que você acabou de cadastrar, sem recarregar a página. Se a mercadoria continuar vazia depois do Reload, o que falta é a coluna </w:t>
      </w:r>
      <w:r>
        <w:rPr>
          <w:b/>
          <w:color w:val="1A3A5A"/>
        </w:rPr>
        <w:t>Commodity</w:t>
      </w:r>
      <w:r>
        <w:rPr>
          <w:color w:val="1A3A5A"/>
        </w:rPr>
        <w:t xml:space="preserve"> na linha do Index B3: o sistema só preenche o que está lá.</w:t>
      </w:r>
    </w:p>
    <w:p>
      <w:pPr>
        <w:pStyle w:val="Heading3"/>
      </w:pPr>
      <w:r>
        <w:rPr>
          <w:sz w:val="25"/>
        </w:rPr>
        <w:t>3.15. File Interpreter — os layouts dos arquivos</w:t>
      </w:r>
    </w:p>
    <w:p>
      <w:r>
        <w:t xml:space="preserve">Caminho no menu: </w:t>
      </w:r>
      <w:r>
        <w:rPr>
          <w:b/>
        </w:rPr>
        <w:t>Apps → File Interpreter</w:t>
      </w:r>
      <w:r>
        <w:t>.</w:t>
      </w:r>
    </w:p>
    <w:p>
      <w:r>
        <w:t xml:space="preserve">É o catálogo dos arquivos que o sistema monta, campo a campo: os de registro na B3 (Termo, Opção, Swap, MID, DCE) e os de instrução da Intrag. Cada template mostra a ordem dos campos, a largura de cada um e </w:t>
      </w:r>
      <w:r>
        <w:rPr>
          <w:b/>
        </w:rPr>
        <w:t>de onde sai o valor</w:t>
      </w:r>
      <w:r>
        <w:t xml:space="preserve"> — um valor fixo, uma coluna da tela, um cadastro do Mapping ou um cálculo.</w:t>
      </w:r>
    </w:p>
    <w:p>
      <w:r>
        <w:t>O que se faz aqui, sem precisar de release:</w:t>
      </w:r>
    </w:p>
    <w:p>
      <w:pPr>
        <w:pStyle w:val="ListBullet"/>
      </w:pPr>
      <w:r>
        <w:rPr>
          <w:b/>
        </w:rPr>
        <w:t>Ver o layout</w:t>
      </w:r>
      <w:r>
        <w:t xml:space="preserve"> — clique no template na lista à esquerda. Os blocos (header, registro, verificação) aparecem na ordem em que saem no arquivo.</w:t>
      </w:r>
    </w:p>
    <w:p>
      <w:pPr>
        <w:pStyle w:val="ListBullet"/>
      </w:pPr>
      <w:r>
        <w:rPr>
          <w:b/>
        </w:rPr>
        <w:t>Trocar a origem de um campo</w:t>
      </w:r>
      <w:r>
        <w:t xml:space="preserve"> — *Edit Sources*. Um campo fixo passa a valer no próximo arquivo gerado e no próximo preview.</w:t>
      </w:r>
    </w:p>
    <w:p>
      <w:pPr>
        <w:pStyle w:val="ListBullet"/>
      </w:pPr>
      <w:r>
        <w:rPr>
          <w:b/>
        </w:rPr>
        <w:t>Cadastrar um cálculo</w:t>
      </w:r>
      <w:r>
        <w:t xml:space="preserve"> — no campo de origem há um construtor por listas: diferença em dias úteis entre duas datas, data + N dias úteis, busca num cadastro do Mapping e de-para em linha (*se for ASIAN escreva A; se for VANILLA, deixe em branco*).</w:t>
      </w:r>
    </w:p>
    <w:p>
      <w:pPr>
        <w:pStyle w:val="ListBullet"/>
      </w:pPr>
      <w:r>
        <w:rPr>
          <w:b/>
        </w:rPr>
        <w:t>Versões</w:t>
      </w:r>
      <w:r>
        <w:t xml:space="preserve"> — um mesmo arquivo pode ter mais de um layout: por par de entidades (JPM × MGT, LAWTON × JPM…) ou por produto, como nos arquivos da Intrag. O seletor </w:t>
      </w:r>
      <w:r>
        <w:rPr>
          <w:b/>
        </w:rPr>
        <w:t>Versions</w:t>
      </w:r>
      <w:r>
        <w:t xml:space="preserve"> no alto do cartão mostra quantas existem e troca entre elas; *Add Template* cria a próxima a partir de uma que já existe.</w:t>
      </w:r>
    </w:p>
    <w:p>
      <w:pPr>
        <w:ind w:left="360"/>
        <w:shd w:val="clear" w:fill="EAF2FB"/>
      </w:pPr>
      <w:r>
        <w:rPr>
          <w:b/>
          <w:color w:val="1A3A5A"/>
        </w:rPr>
        <w:t>O preview das telas de New Deals lê este cadastro.</w:t>
      </w:r>
      <w:r>
        <w:rPr>
          <w:color w:val="1A3A5A"/>
        </w:rPr>
        <w:t xml:space="preserve"> Editou aqui, feche e abra o preview de novo (duplo clique na linha) — ele relê o template, sem refresh da página.</w:t>
      </w:r>
    </w:p>
    <w:p>
      <w:pPr>
        <w:pStyle w:val="Heading3"/>
      </w:pPr>
      <w:r>
        <w:rPr>
          <w:sz w:val="25"/>
        </w:rPr>
        <w:t>3.16. Control Panel — rotinas e destinatários de e-mail</w:t>
      </w:r>
    </w:p>
    <w:p>
      <w:r>
        <w:t xml:space="preserve">Caminho no menu: </w:t>
      </w:r>
      <w:r>
        <w:rPr>
          <w:b/>
        </w:rPr>
        <w:t>Apps → Control Panel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68246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-pane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682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Cada card é uma rotina automática. Para configurar:</w:t>
      </w:r>
    </w:p>
    <w:p>
      <w:pPr>
        <w:pStyle w:val="ListNumber"/>
      </w:pPr>
      <w:r>
        <w:t xml:space="preserve">Preencha os campos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Separe vários endereços por ponto e vírgula.</w:t>
      </w:r>
    </w:p>
    <w:p>
      <w:pPr>
        <w:pStyle w:val="ListNumber"/>
      </w:pPr>
      <w:r>
        <w:t>Saia do campo — o sistema salva automaticamente.</w:t>
      </w:r>
    </w:p>
    <w:p>
      <w:pPr>
        <w:pStyle w:val="ListNumber"/>
      </w:pPr>
      <w:r>
        <w:t xml:space="preserve">Use o botão </w:t>
      </w:r>
      <w:r>
        <w:rPr>
          <w:b/>
        </w:rPr>
        <w:t>Run</w:t>
      </w:r>
      <w:r>
        <w:t xml:space="preserve"> para disparar a rotina na hora, sem esperar o horário automático.</w:t>
      </w:r>
    </w:p>
    <w:p>
      <w:r>
        <w:t xml:space="preserve">Os cards são agrupados em </w:t>
      </w:r>
      <w:r>
        <w:rPr>
          <w:b/>
        </w:rPr>
        <w:t>cinco seções</w:t>
      </w:r>
      <w:r>
        <w:t xml:space="preserve">, e o que agrupa não é o que a rotina *faz* e sim </w:t>
      </w:r>
      <w:r>
        <w:rPr>
          <w:b/>
        </w:rPr>
        <w:t>quando</w:t>
      </w:r>
      <w:r>
        <w:t xml:space="preserve"> ela acontece e sobre o que ela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>Save CETIP Files · Deals Monitor —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Você pode ver menos cards do que a lista acima.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rotina</w:t>
      </w:r>
      <w:r>
        <w:rPr>
          <w:color w:val="1A3A5A"/>
        </w:rPr>
        <w:t>, não pela página inteira: o administrador libera cada card no *Page Access*, e o cabeçalho de uma seção só aparece se você tiver ao menos um card dela. Se falta uma rotina que você precisa operar, o pedido é de acesso àquele card.</w:t>
      </w:r>
    </w:p>
    <w:p>
      <w:pPr>
        <w:pStyle w:val="Heading4"/>
      </w:pPr>
      <w:r>
        <w:rPr>
          <w:color w:val="555555"/>
          <w:sz w:val="22"/>
        </w:rPr>
        <w:t>Save CETIP Files — quatro destinos, cada um com o seu recorte</w:t>
      </w:r>
    </w:p>
    <w:p>
      <w:r>
        <w:t xml:space="preserve">Este card manda os arquivos da CETIP para </w:t>
      </w:r>
      <w:r>
        <w:rPr>
          <w:b/>
        </w:rPr>
        <w:t>Sales Support</w:t>
      </w:r>
      <w:r>
        <w:t xml:space="preserve">, </w:t>
      </w:r>
      <w:r>
        <w:rPr>
          <w:b/>
        </w:rPr>
        <w:t>CEM Latam</w:t>
      </w:r>
      <w:r>
        <w:t xml:space="preserve">, </w:t>
      </w:r>
      <w:r>
        <w:rPr>
          <w:b/>
        </w:rPr>
        <w:t>BACC</w:t>
      </w:r>
      <w:r>
        <w:t xml:space="preserve"> e </w:t>
      </w:r>
      <w:r>
        <w:rPr>
          <w:b/>
        </w:rPr>
        <w:t>BACC HUB EQT MO</w:t>
      </w:r>
      <w:r>
        <w:t xml:space="preserve">. Cada um é um e-mail diferente, com a sua própria lista de </w:t>
      </w:r>
      <w:r>
        <w:rPr>
          <w:b/>
        </w:rPr>
        <w:t>To</w:t>
      </w:r>
      <w:r>
        <w:t xml:space="preserve"> e com OTC Ops sempre em cópia.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Destino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recebe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Sales Support</w:t>
            </w:r>
          </w:p>
        </w:tc>
        <w:tc>
          <w:tcPr>
            <w:tcW w:type="dxa" w:w="4968"/>
          </w:tcPr>
          <w:p>
            <w:r>
              <w:t>Contrato/SIC, posição de Termo, de Opção e de SWAP — os arquivos como saem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Latam BA</w:t>
            </w:r>
          </w:p>
        </w:tc>
        <w:tc>
          <w:tcPr>
            <w:tcW w:type="dxa" w:w="4968"/>
          </w:tcPr>
          <w:p>
            <w:r>
              <w:t>só a posição de Opção (</w:t>
            </w:r>
            <w:r>
              <w:rPr>
                <w:rFonts w:ascii="Consolas" w:hAnsi="Consolas"/>
                <w:color w:val="B03060"/>
              </w:rPr>
              <w:t>DPOSICAO.OPC</w:t>
            </w:r>
            <w:r>
              <w:t>) — o arquivo como sai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BACC</w:t>
            </w:r>
          </w:p>
        </w:tc>
        <w:tc>
          <w:tcPr>
            <w:tcW w:type="dxa" w:w="4968"/>
          </w:tcPr>
          <w:p>
            <w:r>
              <w:t xml:space="preserve">DFLUXO swap, posição swap, posição OPC e posição TER — </w:t>
            </w:r>
            <w:r>
              <w:rPr>
                <w:b/>
              </w:rPr>
              <w:t>recortados</w:t>
            </w:r>
            <w:r>
              <w:t xml:space="preserve"> para as operações entre contas de casa (Lawton </w:t>
            </w:r>
            <w:r>
              <w:rPr>
                <w:rFonts w:ascii="Consolas" w:hAnsi="Consolas"/>
                <w:color w:val="B03060"/>
              </w:rPr>
              <w:t>00041.00-7</w:t>
            </w:r>
            <w:r>
              <w:t xml:space="preserve">, Banco </w:t>
            </w:r>
            <w:r>
              <w:rPr>
                <w:rFonts w:ascii="Consolas" w:hAnsi="Consolas"/>
                <w:color w:val="B03060"/>
              </w:rPr>
              <w:t>73760.00-9</w:t>
            </w:r>
            <w:r>
              <w:t xml:space="preserve">, Atacama </w:t>
            </w:r>
            <w:r>
              <w:rPr>
                <w:rFonts w:ascii="Consolas" w:hAnsi="Consolas"/>
                <w:color w:val="B03060"/>
              </w:rPr>
              <w:t>85398.00-5</w:t>
            </w:r>
            <w:r>
              <w:t>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BACC HUB EQT MO</w:t>
            </w:r>
          </w:p>
        </w:tc>
        <w:tc>
          <w:tcPr>
            <w:tcW w:type="dxa" w:w="4968"/>
          </w:tcPr>
          <w:p>
            <w:r>
              <w:t xml:space="preserve">*SWAP (Strategy)*, posição de NDF/Termo, de Opção, de SWAP e Agenda de Prêmios — </w:t>
            </w:r>
            <w:r>
              <w:rPr>
                <w:b/>
              </w:rPr>
              <w:t>inteiros, sem filtro nenhum</w:t>
            </w:r>
            <w:r>
              <w:t>, para reconciliação de posição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 posição de NDF/Termo e a de Opção vão para os dois BACC, e o arquivo não é o mesmo.</w:t>
      </w:r>
      <w:r>
        <w:rPr>
          <w:color w:val="1A3A5A"/>
        </w:rPr>
        <w:t xml:space="preserve"> No *Intragroup* ele vai recortado; no *HUB* vai inteiro. É por isso que são dois e-mails: num só, o recorte e o arquivo cheio chegariam com o mesmo nome na mesma mensagem.</w:t>
      </w:r>
    </w:p>
    <w:p>
      <w:pPr>
        <w:pStyle w:val="ListNumber"/>
      </w:pPr>
      <w:r>
        <w:t xml:space="preserve">Preencha as </w:t>
      </w:r>
      <w:r>
        <w:rPr>
          <w:b/>
        </w:rPr>
        <w:t>To</w:t>
      </w:r>
      <w:r>
        <w:t xml:space="preserve"> que forem usar — cada uma é um e-mail diferente, e as duas de BACC começam vazias.</w:t>
      </w:r>
    </w:p>
    <w:p>
      <w:pPr>
        <w:pStyle w:val="ListNumber"/>
      </w:pPr>
      <w:r>
        <w:t xml:space="preserve">O anexo dos dois BACC </w:t>
      </w:r>
      <w:r>
        <w:rPr>
          <w:b/>
        </w:rPr>
        <w:t>mantém o nome original do arquivo e ganha `.txt` no fim</w:t>
      </w:r>
      <w:r>
        <w:t xml:space="preserve"> — </w:t>
      </w:r>
      <w:r>
        <w:rPr>
          <w:rFonts w:ascii="Consolas" w:hAnsi="Consolas"/>
          <w:color w:val="B03060"/>
        </w:rPr>
        <w:t>73760_260817_DPOSICAO-SWAP.CETIP21.txt</w:t>
      </w:r>
      <w:r>
        <w:t xml:space="preserve">. O nome inteiro fica porque é por ele que o outro lado reconhece qual arquivo é aquele; o </w:t>
      </w:r>
      <w:r>
        <w:rPr>
          <w:rFonts w:ascii="Consolas" w:hAnsi="Consolas"/>
          <w:color w:val="B03060"/>
        </w:rPr>
        <w:t>.txt</w:t>
      </w:r>
      <w:r>
        <w:t xml:space="preserve"> é o que faz o anexo abrir com um duplo clique (as extensões da CETIP não são associadas a programa nenhum). O conteúdo é o mesmo texto de sempre.</w:t>
      </w:r>
    </w:p>
    <w:p>
      <w:pPr>
        <w:ind w:left="360"/>
        <w:shd w:val="clear" w:fill="EAF2FB"/>
      </w:pPr>
      <w:r>
        <w:rPr>
          <w:b/>
          <w:color w:val="1A3A5A"/>
        </w:rPr>
        <w:t>BACC e BACC HUB EQT MO são destinos diferentes, e o conteúdo é diferente.</w:t>
      </w:r>
      <w:r>
        <w:rPr>
          <w:color w:val="1A3A5A"/>
        </w:rPr>
        <w:t xml:space="preserve"> O BACC recebe o </w:t>
      </w:r>
      <w:r>
        <w:rPr>
          <w:b/>
          <w:color w:val="1A3A5A"/>
        </w:rPr>
        <w:t>recorte</w:t>
      </w:r>
      <w:r>
        <w:rPr>
          <w:color w:val="1A3A5A"/>
        </w:rPr>
        <w:t xml:space="preserve"> do intragrupo — quem diz isso é o corpo do e-mail, com a contagem em cada linha da tabela (*"— 12 of 480 line(s)"*). O BACC HUB recebe a </w:t>
      </w:r>
      <w:r>
        <w:rPr>
          <w:b/>
          <w:color w:val="1A3A5A"/>
        </w:rPr>
        <w:t>posição cheia</w:t>
      </w:r>
      <w:r>
        <w:rPr>
          <w:color w:val="1A3A5A"/>
        </w:rPr>
        <w:t>, sem contagem nenhuma na tabela, porque não houve corte: é com ela que a posição é reconciliada, e um arquivo filtrado bateria contra uma posição que não é a que a CETIP publicou.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Sem endereço no To, o e-mail simplesmente não sai</w:t>
      </w:r>
      <w:r>
        <w:rPr>
          <w:color w:val="1A3A5A"/>
        </w:rPr>
        <w:t xml:space="preserve"> — vale para os dois BACC, e o card mostra isso em vez de deixar você achando que foi enviado. Sales Support e CEM Latam têm endereço padrão.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"Not found" quer dizer coisas diferentes nos dois.</w:t>
      </w:r>
      <w:r>
        <w:rPr>
          <w:color w:val="1A3A5A"/>
        </w:rPr>
        <w:t xml:space="preserve"> No BACC, o sistema não conseguiu localizar no arquivo as colunas de parte e contraparte, e por isso </w:t>
      </w:r>
      <w:r>
        <w:rPr>
          <w:b/>
          <w:color w:val="1A3A5A"/>
        </w:rPr>
        <w:t>não anexou</w:t>
      </w:r>
      <w:r>
        <w:rPr>
          <w:color w:val="1A3A5A"/>
        </w:rPr>
        <w:t xml:space="preserve"> aquele arquivo — mandar o arquivo cheio com o nome de um recorte seria pior; avise o time de tecnologia. No BACC HUB, quer dizer que o arquivo </w:t>
      </w:r>
      <w:r>
        <w:rPr>
          <w:b/>
          <w:color w:val="1A3A5A"/>
        </w:rPr>
        <w:t>não estava na pasta do dia</w:t>
      </w:r>
      <w:r>
        <w:rPr>
          <w:color w:val="1A3A5A"/>
        </w:rPr>
        <w:t>: rode antes o *Save CETIP Files* e confira se a CETIP publicou aquele arquivo.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Um arquivo que some do e-mail sem dizer nada costuma ser o nome da linha em *Mapping → CETIP Files*.</w:t>
      </w:r>
      <w:r>
        <w:rPr>
          <w:color w:val="1A3A5A"/>
        </w:rPr>
        <w:t xml:space="preserve"> O sistema liga cada linha do cadastro ao que ela faz (virar JSON, ir para o Sales Support, entrar no recorte do BACC) pelo </w:t>
      </w:r>
      <w:r>
        <w:rPr>
          <w:b/>
          <w:color w:val="1A3A5A"/>
        </w:rPr>
        <w:t>Type</w:t>
      </w:r>
      <w:r>
        <w:rPr>
          <w:color w:val="1A3A5A"/>
        </w:rPr>
        <w:t xml:space="preserve">, e o que identifica o arquivo ali é o trecho </w:t>
      </w:r>
      <w:r>
        <w:rPr>
          <w:b/>
          <w:color w:val="1A3A5A"/>
        </w:rPr>
        <w:t>entre parênteses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(DPOSICAO-TER)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(OPC DPOSICAO)</w:t>
      </w:r>
      <w:r>
        <w:rPr>
          <w:color w:val="1A3A5A"/>
        </w:rPr>
        <w:t xml:space="preserve">. O texto antes dos parênteses é só descrição e pode ser reescrito à vontade; </w:t>
      </w:r>
      <w:r>
        <w:rPr>
          <w:b/>
          <w:color w:val="1A3A5A"/>
        </w:rPr>
        <w:t>o que está entre parênteses, não</w:t>
      </w:r>
      <w:r>
        <w:rPr>
          <w:color w:val="1A3A5A"/>
        </w:rPr>
        <w:t>. Mudou, e o arquivo passa a ser só salvo: some dos e-mails e dos relatórios, calado.</w:t>
      </w:r>
    </w:p>
    <w:p>
      <w:pPr>
        <w:ind w:left="360"/>
        <w:shd w:val="clear" w:fill="EAF2FB"/>
      </w:pPr>
      <w:r>
        <w:rPr>
          <w:b/>
          <w:color w:val="1A3A5A"/>
        </w:rPr>
        <w:t>Nem todo card envia e-mail.</w:t>
      </w:r>
      <w:r>
        <w:rPr>
          <w:color w:val="1A3A5A"/>
        </w:rPr>
        <w:t xml:space="preserve"> O *Daily Metric*, a *Weekly Escalation* e a *Collection* geram um </w:t>
      </w:r>
      <w:r>
        <w:rPr>
          <w:b/>
          <w:color w:val="1A3A5A"/>
        </w:rPr>
        <w:t>rascunho</w:t>
      </w:r>
      <w:r>
        <w:rPr>
          <w:color w:val="1A3A5A"/>
        </w:rPr>
        <w:t xml:space="preserve"> — o navegador baixa um arquivo </w:t>
      </w:r>
      <w:r>
        <w:rPr>
          <w:rFonts w:ascii="Consolas" w:hAnsi="Consolas"/>
          <w:color w:val="1A3A5A"/>
        </w:rPr>
        <w:t>.eml</w:t>
      </w:r>
      <w:r>
        <w:rPr>
          <w:color w:val="1A3A5A"/>
        </w:rPr>
        <w:t xml:space="preserve"> que abre no Outlook já endereçado, para você revisar e enviar. O *Pending Confirmations Spreadsheet Metrics* não envia e-mail: ele </w:t>
      </w:r>
      <w:r>
        <w:rPr>
          <w:b/>
          <w:color w:val="1A3A5A"/>
        </w:rPr>
        <w:t>grava a planilha</w:t>
      </w:r>
      <w:r>
        <w:rPr>
          <w:color w:val="1A3A5A"/>
        </w:rPr>
        <w:t xml:space="preserve"> "PENDING - Outstanding Confirmation OTC.xlsx" no share, todo dia útil às 10:45. Os demais mandam direto.</w:t>
      </w:r>
    </w:p>
    <w:p>
      <w:pPr>
        <w:pStyle w:val="Heading4"/>
      </w:pPr>
      <w:r>
        <w:rPr>
          <w:color w:val="555555"/>
          <w:sz w:val="22"/>
        </w:rPr>
        <w:t>Confirmations Escalation — cobrar as validações paradas</w:t>
      </w:r>
    </w:p>
    <w:p>
      <w:r>
        <w:t xml:space="preserve">Este card manda por e-mail as confirmações que estão </w:t>
      </w:r>
      <w:r>
        <w:rPr>
          <w:b/>
        </w:rPr>
        <w:t>pendentes de validação</w:t>
      </w:r>
      <w:r>
        <w:t xml:space="preserve"> na esteira do *Confirmations Monitor* (item 3.11). São </w:t>
      </w:r>
      <w:r>
        <w:rPr>
          <w:b/>
        </w:rPr>
        <w:t>sete listas de destinatários</w:t>
      </w:r>
      <w:r>
        <w:t>, uma por e-mail, porque quem recebe a fila de um produto não é quem recebe a de outro: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Lista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vai no e-mail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sai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OTC Ops</w:t>
            </w:r>
          </w:p>
        </w:tc>
        <w:tc>
          <w:tcPr>
            <w:tcW w:type="dxa" w:w="3312"/>
          </w:tcPr>
          <w:p>
            <w:r>
              <w:t>tudo em *Pending OTC*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Sales Support</w:t>
            </w:r>
          </w:p>
        </w:tc>
        <w:tc>
          <w:tcPr>
            <w:tcW w:type="dxa" w:w="3312"/>
          </w:tcPr>
          <w:p>
            <w:r>
              <w:t>tudo em *Pending MO*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ESCALATION — Sales Support</w:t>
            </w:r>
          </w:p>
        </w:tc>
        <w:tc>
          <w:tcPr>
            <w:tcW w:type="dxa" w:w="3312"/>
          </w:tcPr>
          <w:p>
            <w:r>
              <w:t xml:space="preserve">só o que está </w:t>
            </w:r>
            <w:r>
              <w:rPr>
                <w:b/>
              </w:rPr>
              <w:t>no último dia do prazo ou vencido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todo dia útil</w:t>
            </w:r>
            <w:r>
              <w:t>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CEM Swap</w:t>
            </w:r>
          </w:p>
        </w:tc>
        <w:tc>
          <w:tcPr>
            <w:tcW w:type="dxa" w:w="3312"/>
          </w:tcPr>
          <w:p>
            <w:r>
              <w:t>Swap da LOB CEM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Swap</w:t>
            </w:r>
          </w:p>
        </w:tc>
        <w:tc>
          <w:tcPr>
            <w:tcW w:type="dxa" w:w="3312"/>
          </w:tcPr>
          <w:p>
            <w:r>
              <w:t>Swap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Corporate Swap</w:t>
            </w:r>
          </w:p>
        </w:tc>
        <w:tc>
          <w:tcPr>
            <w:tcW w:type="dxa" w:w="3312"/>
          </w:tcPr>
          <w:p>
            <w:r>
              <w:t>Swap Corporate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 — FO · EDG Option</w:t>
            </w:r>
          </w:p>
        </w:tc>
        <w:tc>
          <w:tcPr>
            <w:tcW w:type="dxa" w:w="3312"/>
          </w:tcPr>
          <w:p>
            <w:r>
              <w:t>Opção de câmbio (FXO) da LOB EDG</w:t>
            </w:r>
          </w:p>
        </w:tc>
        <w:tc>
          <w:tcPr>
            <w:tcW w:type="dxa" w:w="3312"/>
          </w:tcPr>
          <w:p>
            <w:r>
              <w:t>segunda e quinta, 17h00</w:t>
            </w:r>
          </w:p>
        </w:tc>
      </w:tr>
    </w:tbl>
    <w:p/>
    <w:p>
      <w:pPr>
        <w:pStyle w:val="ListNumber"/>
      </w:pPr>
      <w:r>
        <w:t>Preencha as listas e saia do campo — salva sozinho, como nos demais cards.</w:t>
      </w:r>
    </w:p>
    <w:p>
      <w:pPr>
        <w:pStyle w:val="ListNumber"/>
      </w:pPr>
      <w:r>
        <w:t xml:space="preserve">Cada linha da lista do card tem o </w:t>
      </w:r>
      <w:r>
        <w:rPr>
          <w:b/>
        </w:rPr>
        <w:t>seu próprio Run</w:t>
      </w:r>
      <w:r>
        <w:t xml:space="preserve">: reenviar o e-mail do EDG Swap não dispara os outros. O </w:t>
      </w:r>
      <w:r>
        <w:rPr>
          <w:b/>
        </w:rPr>
        <w:t>Run all</w:t>
      </w:r>
      <w:r>
        <w:t xml:space="preserve"> do rodapé manda o pacote da rotina.</w:t>
      </w:r>
    </w:p>
    <w:p>
      <w:pPr>
        <w:pStyle w:val="ListNumber"/>
      </w:pPr>
      <w:r>
        <w:t xml:space="preserve">O e-mail traz uma tabela com </w:t>
      </w:r>
      <w:r>
        <w:rPr>
          <w:b/>
        </w:rPr>
        <w:t>Trade Date, Cliente, Produto, LOB, Trade ID, Ativo e a data em que a confirmação entrou para validação</w:t>
      </w:r>
      <w:r>
        <w:t>, com a linha vencida marcada em vermelho, e um botão que abre o *Confirmations Monitor*.</w:t>
      </w:r>
    </w:p>
    <w:p>
      <w:pPr>
        <w:ind w:left="360"/>
        <w:shd w:val="clear" w:fill="EAF2FB"/>
      </w:pPr>
      <w:r>
        <w:rPr>
          <w:b/>
          <w:color w:val="1A3A5A"/>
        </w:rPr>
        <w:t>Segunda ou quinta em feriado ANBIMA sai no próximo dia útil</w:t>
      </w:r>
      <w:r>
        <w:rPr>
          <w:color w:val="1A3A5A"/>
        </w:rPr>
        <w:t>, não é pulada.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Sem nada pendente, o e-mail não é enviado</w:t>
      </w:r>
      <w:r>
        <w:rPr>
          <w:color w:val="1A3A5A"/>
        </w:rPr>
        <w:t xml:space="preserve"> — e isso é diferente de *sem destinatário*, que o card mostra em amarelo: aí a cobrança deixou de sair porque a lista está vazia.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Se aparecer o aviso amarelo de </w:t>
      </w:r>
      <w:r>
        <w:rPr>
          <w:b/>
          <w:color w:val="1A3A5A"/>
        </w:rPr>
        <w:t>produto sem grupo</w:t>
      </w:r>
      <w:r>
        <w:rPr>
          <w:color w:val="1A3A5A"/>
        </w:rPr>
        <w:t>, há confirmação em *Pending FO* de um produto × LOB que não está na quebra acima — ela não está sendo cobrada por ninguém. Peça a inclusão ao time de tecnologia.</w:t>
      </w:r>
    </w:p>
    <w:p>
      <w:r>
        <w:rPr>
          <w:b/>
        </w:rPr>
        <w:t>BACC EA Metrics — a planilha diária das operações manuais</w:t>
      </w:r>
    </w:p>
    <w:p>
      <w:r>
        <w:t xml:space="preserve">Todo dia útil (calendário ANBIMA) às </w:t>
      </w:r>
      <w:r>
        <w:rPr>
          <w:b/>
        </w:rPr>
        <w:t>16h00</w:t>
      </w:r>
      <w:r>
        <w:t xml:space="preserve">, o sistema manda um e-mail com uma planilha </w:t>
      </w:r>
      <w:r>
        <w:rPr>
          <w:rFonts w:ascii="Consolas" w:hAnsi="Consolas"/>
          <w:color w:val="B03060"/>
        </w:rPr>
        <w:t>.xlsx</w:t>
      </w:r>
    </w:p>
    <w:p>
      <w:r>
        <w:t xml:space="preserve">anexa para as listas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 xml:space="preserve"> do card. Assunto: *Support to OTC Derivatives - EA Metrics*.</w:t>
      </w:r>
    </w:p>
    <w:p>
      <w:pPr>
        <w:pStyle w:val="ListNumber"/>
      </w:pPr>
      <w:r>
        <w:t>Preencha TO e CC e saia do campo — salva sozinho, como nos demais cards.</w:t>
      </w:r>
    </w:p>
    <w:p>
      <w:pPr>
        <w:pStyle w:val="ListNumber"/>
      </w:pPr>
      <w:r>
        <w:rPr>
          <w:b/>
        </w:rPr>
        <w:t>Run</w:t>
      </w:r>
      <w:r>
        <w:t xml:space="preserve"> manda agora, sem esperar as 16h00, e não consome o disparo do dia.</w:t>
      </w:r>
    </w:p>
    <w:p>
      <w:pPr>
        <w:pStyle w:val="ListNumber"/>
      </w:pPr>
      <w:r>
        <w:t xml:space="preserve">A planilha traz as operações do </w:t>
      </w:r>
      <w:r>
        <w:rPr>
          <w:b/>
        </w:rPr>
        <w:t>Track Confirmations</w:t>
      </w:r>
      <w:r>
        <w:t xml:space="preserve"> que ainda estão </w:t>
      </w:r>
      <w:r>
        <w:rPr>
          <w:b/>
        </w:rPr>
        <w:t>sem Callback Date</w:t>
      </w:r>
      <w:r>
        <w:t xml:space="preserve"> e</w:t>
      </w:r>
    </w:p>
    <w:p>
      <w:r>
        <w:t xml:space="preserve">   que não estão em *Ok*, ordenadas da mais antiga para a mais nova (*Aging* do maior para o menor).</w:t>
      </w:r>
    </w:p>
    <w:p>
      <w:pPr>
        <w:pStyle w:val="ListNumber"/>
      </w:pPr>
      <w:r>
        <w:t>As colunas *Born Age* saem em branco de propósito: elas são preenchidas por quem consolida do</w:t>
      </w:r>
    </w:p>
    <w:p>
      <w:r>
        <w:t xml:space="preserve">   outro lado. A coluna *Comments* traz o </w:t>
      </w:r>
      <w:r>
        <w:rPr>
          <w:b/>
        </w:rPr>
        <w:t>assunto do e-mail de recap</w:t>
      </w:r>
      <w:r>
        <w:t xml:space="preserve"> da operação.</w:t>
      </w:r>
    </w:p>
    <w:p>
      <w:pPr>
        <w:ind w:left="360"/>
        <w:shd w:val="clear" w:fill="EAF2FB"/>
      </w:pPr>
      <w:r>
        <w:rPr>
          <w:b/>
          <w:color w:val="1A3A5A"/>
        </w:rPr>
        <w:t>Um dia sem operação manual manda a planilha vazia mesmo assim</w:t>
      </w:r>
      <w:r>
        <w:rPr>
          <w:color w:val="1A3A5A"/>
        </w:rPr>
        <w:t xml:space="preserve"> — a ausência é a métrica. O</w:t>
      </w:r>
    </w:p>
    <w:p>
      <w:pPr>
        <w:ind w:left="360"/>
        <w:shd w:val="clear" w:fill="EAF2FB"/>
      </w:pPr>
      <w:r>
        <w:rPr>
          <w:color w:val="1A3A5A"/>
        </w:rPr>
        <w:t>único caso em que nada é enviado é a lista de TO em branco, e o card avisa isso em âmbar.</w:t>
      </w:r>
    </w:p>
    <w:p>
      <w:pPr>
        <w:pStyle w:val="Heading3"/>
      </w:pPr>
      <w:r>
        <w:rPr>
          <w:sz w:val="25"/>
        </w:rPr>
        <w:t>3.17. Live Position — conferir a posição em custódia</w:t>
      </w:r>
    </w:p>
    <w:p>
      <w:r>
        <w:t xml:space="preserve">Caminho no menu: </w:t>
      </w:r>
      <w:r>
        <w:rPr>
          <w:b/>
        </w:rPr>
        <w:t>Live Position → NDF</w:t>
      </w:r>
      <w:r>
        <w:t xml:space="preserve"> (e demais produtos).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302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nd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0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Escolha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>Os cards no topo classificam a carteira por tipo de operação.</w:t>
      </w:r>
    </w:p>
    <w:p>
      <w:pPr>
        <w:pStyle w:val="ListNumber"/>
      </w:pPr>
      <w:r>
        <w:t xml:space="preserve">A tabela mostra os contratos em custódia. É uma tela </w:t>
      </w:r>
      <w:r>
        <w:rPr>
          <w:b/>
        </w:rPr>
        <w:t>somente leitura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dela</w:t>
      </w:r>
      <w:r>
        <w:rPr>
          <w:color w:val="1A3A5A"/>
        </w:rPr>
        <w:t xml:space="preserve">, não o número — em NDF, Option e Swap (Características). O sistema procura o documento no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e escreve a razão social ali.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Quando a célula continua mostrando o </w:t>
      </w:r>
      <w:r>
        <w:rPr>
          <w:b/>
          <w:color w:val="1A3A5A"/>
        </w:rPr>
        <w:t>número</w:t>
      </w:r>
      <w:r>
        <w:rPr>
          <w:color w:val="1A3A5A"/>
        </w:rPr>
        <w:t xml:space="preserve">, é porque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no Reference Data. O número fica de propósito: apagá-lo esconderia justamente a contraparte que falta cadastrar. Cadastre em </w:t>
      </w:r>
      <w:r>
        <w:rPr>
          <w:b/>
          <w:color w:val="1A3A5A"/>
        </w:rPr>
        <w:t>Data Base → Reference Data</w:t>
      </w:r>
      <w:r>
        <w:rPr>
          <w:color w:val="1A3A5A"/>
        </w:rPr>
        <w:t xml:space="preserve"> (item 3.12) e a coluna passa a mostrar o nome na consulta seguinte.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continua mostrando o documento — ela é a nossa perna, e o nome dela já está na coluna ao lado.</w:t>
      </w:r>
    </w:p>
    <w:p>
      <w:pPr>
        <w:pStyle w:val="Heading3"/>
      </w:pPr>
      <w:r>
        <w:rPr>
          <w:sz w:val="25"/>
        </w:rPr>
        <w:t>3.18. Reconciliations — conciliar</w:t>
      </w:r>
    </w:p>
    <w:p>
      <w:r>
        <w:t xml:space="preserve">Caminho no menu: </w:t>
      </w:r>
      <w:r>
        <w:rPr>
          <w:b/>
        </w:rPr>
        <w:t>Reconciliations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comiten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payre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8119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fx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81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Comitente</w:t>
      </w:r>
      <w:r>
        <w:t xml:space="preserve"> — confronta a posição por comitente.</w:t>
      </w:r>
    </w:p>
    <w:p>
      <w:pPr>
        <w:pStyle w:val="ListNumber"/>
      </w:pPr>
      <w:r>
        <w:rPr>
          <w:b/>
        </w:rPr>
        <w:t>Pay/Rec</w:t>
      </w:r>
      <w:r>
        <w:t xml:space="preserve"> — confronta pagamentos e recebimentos.</w:t>
      </w:r>
    </w:p>
    <w:p>
      <w:pPr>
        <w:pStyle w:val="ListNumber"/>
      </w:pPr>
      <w:r>
        <w:rPr>
          <w:b/>
        </w:rPr>
        <w:t>FXO</w:t>
      </w:r>
      <w:r>
        <w:t xml:space="preserve"> — confronta a posição da CETIP com a Athena, campo a campo. A </w:t>
      </w:r>
      <w:r>
        <w:rPr>
          <w:b/>
        </w:rPr>
        <w:t>Reference date</w:t>
      </w:r>
      <w:r>
        <w:t xml:space="preserve"> abre em D-1 pelo calendário ANBIMA; os cards contam Total, OK, NOK e Sem match e filtram a tabela ao clique, e a faixa de chips diz </w:t>
      </w:r>
      <w:r>
        <w:rPr>
          <w:b/>
        </w:rPr>
        <w:t>qual campo</w:t>
      </w:r>
      <w:r>
        <w:t xml:space="preserve"> está divergindo.</w:t>
      </w:r>
    </w:p>
    <w:p>
      <w:pPr>
        <w:pStyle w:val="ListNumber"/>
      </w:pPr>
      <w:r>
        <w:t>As divergências aparecem destacadas na própria tabela.</w:t>
      </w:r>
    </w:p>
    <w:p>
      <w:pPr>
        <w:pStyle w:val="Heading3"/>
      </w:pPr>
      <w:r>
        <w:rPr>
          <w:sz w:val="25"/>
        </w:rPr>
        <w:t>3.19. Quotes — consultar cotações</w:t>
      </w:r>
    </w:p>
    <w:p>
      <w:r>
        <w:t xml:space="preserve">Caminho no menu: </w:t>
      </w:r>
      <w:r>
        <w:rPr>
          <w:b/>
        </w:rPr>
        <w:t>Apps → Quotes</w:t>
      </w:r>
      <w:r>
        <w:t>.</w:t>
      </w:r>
    </w:p>
    <w:p>
      <w:r>
        <w:t>Consulta o histórico de cotações de três fontes, numa tela só: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 tabela traz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PTAX</w:t>
            </w:r>
          </w:p>
        </w:tc>
        <w:tc>
          <w:tcPr>
            <w:tcW w:type="dxa" w:w="3312"/>
          </w:tcPr>
          <w:p>
            <w:r>
              <w:t>Banco Central (boletim de fechamento)</w:t>
            </w:r>
          </w:p>
        </w:tc>
        <w:tc>
          <w:tcPr>
            <w:tcW w:type="dxa" w:w="3312"/>
          </w:tcPr>
          <w:p>
            <w:r>
              <w:t>Data, moeda, cotação contra o real e contra o dólar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Equities</w:t>
            </w:r>
          </w:p>
        </w:tc>
        <w:tc>
          <w:tcPr>
            <w:tcW w:type="dxa" w:w="3312"/>
          </w:tcPr>
          <w:p>
            <w:r>
              <w:t>Yahoo Finance</w:t>
            </w:r>
          </w:p>
        </w:tc>
        <w:tc>
          <w:tcPr>
            <w:tcW w:type="dxa" w:w="3312"/>
          </w:tcPr>
          <w:p>
            <w:r>
              <w:t>Data, Adj Close, Close, High, Low, Open e Volume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Commodities</w:t>
            </w:r>
          </w:p>
        </w:tc>
        <w:tc>
          <w:tcPr>
            <w:tcW w:type="dxa" w:w="3312"/>
          </w:tcPr>
          <w:p>
            <w:r>
              <w:t>Yahoo Finance</w:t>
            </w:r>
          </w:p>
        </w:tc>
        <w:tc>
          <w:tcPr>
            <w:tcW w:type="dxa" w:w="3312"/>
          </w:tcPr>
          <w:p>
            <w:r>
              <w:t>as mesmas colunas de Equities</w:t>
            </w:r>
          </w:p>
        </w:tc>
      </w:tr>
    </w:tbl>
    <w:p/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. O campo ao lado só é liberado depois disso.</w:t>
      </w:r>
    </w:p>
    <w:p>
      <w:pPr>
        <w:pStyle w:val="ListNumber"/>
      </w:pPr>
      <w:r>
        <w:t xml:space="preserve">Escolha o </w:t>
      </w:r>
      <w:r>
        <w:rPr>
          <w:b/>
        </w:rPr>
        <w:t>instrumento</w:t>
      </w:r>
      <w:r>
        <w:t xml:space="preserve"> — na PTAX é a moeda; nos outros dois é o </w:t>
      </w:r>
      <w:r>
        <w:rPr>
          <w:b/>
        </w:rPr>
        <w:t>ativo subjacente cadastrado no Index B3</w:t>
      </w:r>
      <w:r>
        <w:t xml:space="preserve"> (item 3.14). Pode digitar para filtrar a lista.</w:t>
      </w:r>
    </w:p>
    <w:p>
      <w:pPr>
        <w:pStyle w:val="ListNumber"/>
      </w:pPr>
      <w:r>
        <w:t xml:space="preserve">Ajuste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— a tela já abre com o último mês.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. A tabela sai do mais recente para o mais antigo e aceita filtro por coluna, seleção de célula para copiar e o </w:t>
      </w:r>
      <w:r>
        <w:rPr>
          <w:b/>
        </w:rPr>
        <w:t>Export</w:t>
      </w:r>
      <w:r>
        <w:t xml:space="preserve"> completo (Copy · CSV · Excel · Print · PDF).</w:t>
      </w:r>
    </w:p>
    <w:p>
      <w:pPr>
        <w:ind w:left="360"/>
        <w:shd w:val="clear" w:fill="EAF2FB"/>
      </w:pPr>
      <w:r>
        <w:rPr>
          <w:b/>
          <w:color w:val="1A3A5A"/>
        </w:rPr>
        <w:t>A lista de ativos é a do Index B3</w:t>
      </w:r>
      <w:r>
        <w:rPr>
          <w:color w:val="1A3A5A"/>
        </w:rPr>
        <w:t>, e só os que estão *Active*. Ativo cadastrado lá aparece aqui no mesmo dia.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aparecer "has no market symbol registered in Mapping"</w:t>
      </w:r>
      <w:r>
        <w:rPr>
          <w:color w:val="1A3A5A"/>
        </w:rPr>
        <w:t>, o ativo existe no Index B3 mas ninguém disse ainda qual é o símbolo dele no mercado — o código da B3 (</w:t>
      </w:r>
      <w:r>
        <w:rPr>
          <w:rFonts w:ascii="Consolas" w:hAnsi="Consolas"/>
          <w:color w:val="1A3A5A"/>
        </w:rPr>
        <w:t>AAPL34</w:t>
      </w:r>
      <w:r>
        <w:rPr>
          <w:color w:val="1A3A5A"/>
        </w:rPr>
        <w:t>) não é o mesmo que a fonte de cotação usa (</w:t>
      </w:r>
      <w:r>
        <w:rPr>
          <w:rFonts w:ascii="Consolas" w:hAnsi="Consolas"/>
          <w:color w:val="1A3A5A"/>
        </w:rPr>
        <w:t>AAPL34.SA</w:t>
      </w:r>
      <w:r>
        <w:rPr>
          <w:color w:val="1A3A5A"/>
        </w:rPr>
        <w:t xml:space="preserve">). Cadastre em </w:t>
      </w:r>
      <w:r>
        <w:rPr>
          <w:b/>
          <w:color w:val="1A3A5A"/>
        </w:rPr>
        <w:t>Data Base → Mapping → Quotes — Equities</w:t>
      </w:r>
      <w:r>
        <w:rPr>
          <w:color w:val="1A3A5A"/>
        </w:rPr>
        <w:t xml:space="preserve"> (ou *Quotes — Commodities*) e refaça a busca; vale na hora, sem reiniciar nada. Na lista de instrumentos, o que já está cadastrado aparece como </w:t>
      </w:r>
      <w:r>
        <w:rPr>
          <w:rFonts w:ascii="Consolas" w:hAnsi="Consolas"/>
          <w:color w:val="1A3A5A"/>
        </w:rPr>
        <w:t>AAPL34 → AAPL34.SA</w:t>
      </w:r>
      <w:r>
        <w:rPr>
          <w:color w:val="1A3A5A"/>
        </w:rPr>
        <w:t>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a mensagem falar em proxy ou em "could not reach the source"</w:t>
      </w:r>
      <w:r>
        <w:rPr>
          <w:color w:val="1A3A5A"/>
        </w:rPr>
        <w:t>, a busca não conseguiu sair para a internet — ela tenta várias saídas e diz o que cada uma respondeu. Isso é rede, não cadastro: leve a mensagem inteira para o time de tecnologia.</w:t>
      </w:r>
    </w:p>
    <w:p>
      <w:pPr>
        <w:pStyle w:val="Heading3"/>
      </w:pPr>
      <w:r>
        <w:rPr>
          <w:sz w:val="25"/>
        </w:rPr>
        <w:t>3.20. Holidays Calendar — os feriados que o sistema usa</w:t>
      </w:r>
    </w:p>
    <w:p>
      <w:r>
        <w:t xml:space="preserve">Caminho no menu: </w:t>
      </w:r>
      <w:r>
        <w:rPr>
          <w:b/>
        </w:rPr>
        <w:t>Apps → Holidays Calendar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887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idays-calenda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Esta tela guarda os calendários de feriados que o sistema usa para contar dias úteis — a Data Base (dia útil anterior), a projeção de liquidações e os prazos das mesas. Cada calendário tem a sua </w:t>
      </w:r>
      <w:r>
        <w:rPr>
          <w:b/>
        </w:rPr>
        <w:t>cor</w:t>
      </w:r>
      <w:r>
        <w:t>, e é por ela que você o reconhece no mês.</w:t>
      </w:r>
    </w:p>
    <w:p>
      <w:r>
        <w:rPr>
          <w:b/>
        </w:rPr>
        <w:t>Para incluir um feriado avulso:</w:t>
      </w:r>
      <w:r>
        <w:t xml:space="preserve"> clique na data (ou em </w:t>
      </w:r>
      <w:r>
        <w:rPr>
          <w:b/>
        </w:rPr>
        <w:t>Create New Holiday</w:t>
      </w:r>
      <w:r>
        <w:t xml:space="preserve">), preencha a data, o nome do feriado e escolha o calendário. Também dá para </w:t>
      </w:r>
      <w:r>
        <w:rPr>
          <w:b/>
        </w:rPr>
        <w:t>arrastar</w:t>
      </w:r>
      <w:r>
        <w:t xml:space="preserve"> o calendário da barra lateral direto para o dia.</w:t>
      </w:r>
    </w:p>
    <w:p>
      <w:r>
        <w:rPr>
          <w:b/>
        </w:rPr>
        <w:t>Para criar um calendário inteiro a partir de uma planilha: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 ao calendário — é como ele vai aparecer na barra lateral e na lista de escolha.</w:t>
      </w:r>
    </w:p>
    <w:p>
      <w:pPr>
        <w:pStyle w:val="ListNumber"/>
      </w:pPr>
      <w:r>
        <w:t xml:space="preserve">Arraste o </w:t>
      </w:r>
      <w:r>
        <w:rPr>
          <w:b/>
        </w:rPr>
        <w:t>.xlsx</w:t>
      </w:r>
      <w:r>
        <w:t xml:space="preserve"> para a área tracejada, ou clique nela para procurar o arquivo.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r>
        <w:t xml:space="preserve">A planilha tem </w:t>
      </w:r>
      <w:r>
        <w:rPr>
          <w:b/>
        </w:rPr>
        <w:t>uma aba</w:t>
      </w:r>
      <w:r>
        <w:t xml:space="preserve"> com três colunas, nesta ordem: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Entra?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— Holiday</w:t>
            </w:r>
          </w:p>
        </w:tc>
        <w:tc>
          <w:tcPr>
            <w:tcW w:type="dxa" w:w="3312"/>
          </w:tcPr>
          <w:p>
            <w:r>
              <w:t xml:space="preserve">a data, no formato </w:t>
            </w:r>
            <w:r>
              <w:rPr>
                <w:rFonts w:ascii="Consolas" w:hAnsi="Consolas"/>
                <w:color w:val="B03060"/>
              </w:rPr>
              <w:t>aaaa-mm-dd</w:t>
            </w:r>
          </w:p>
        </w:tc>
        <w:tc>
          <w:tcPr>
            <w:tcW w:type="dxa" w:w="3312"/>
          </w:tcPr>
          <w:p>
            <w:r>
              <w:t>sim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 — Description</w:t>
            </w:r>
          </w:p>
        </w:tc>
        <w:tc>
          <w:tcPr>
            <w:tcW w:type="dxa" w:w="3312"/>
          </w:tcPr>
          <w:p>
            <w:r>
              <w:t>o nome do feriado</w:t>
            </w:r>
          </w:p>
        </w:tc>
        <w:tc>
          <w:tcPr>
            <w:tcW w:type="dxa" w:w="3312"/>
          </w:tcPr>
          <w:p>
            <w:r>
              <w:t>sim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 — Holiday Type</w:t>
            </w:r>
          </w:p>
        </w:tc>
        <w:tc>
          <w:tcPr>
            <w:tcW w:type="dxa" w:w="3312"/>
          </w:tcPr>
          <w:p>
            <w:r>
              <w:t>o tipo</w:t>
            </w:r>
          </w:p>
        </w:tc>
        <w:tc>
          <w:tcPr>
            <w:tcW w:type="dxa" w:w="3312"/>
          </w:tcPr>
          <w:p>
            <w:r>
              <w:t>não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 linha de cabeçalho não atrapalha</w:t>
      </w:r>
      <w:r>
        <w:rPr>
          <w:color w:val="1A3A5A"/>
        </w:rPr>
        <w:t xml:space="preserve"> — o sistema descarta o que não é data, e isso vale também para a linha em branco do fim e para um eventual rodapé de total. Datas repetidas entram uma vez só, e linha sem descrição é ignorada.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a resposta for "No holiday found"</w:t>
      </w:r>
      <w:r>
        <w:rPr>
          <w:color w:val="1A3A5A"/>
        </w:rPr>
        <w:t xml:space="preserve">, a coluna A não está sendo lida como data ou a coluna B está vazia. Confira se as datas estão em </w:t>
      </w:r>
      <w:r>
        <w:rPr>
          <w:rFonts w:ascii="Consolas" w:hAnsi="Consolas"/>
          <w:color w:val="1A3A5A"/>
        </w:rPr>
        <w:t>aaaa-mm-dd</w:t>
      </w:r>
      <w:r>
        <w:rPr>
          <w:color w:val="1A3A5A"/>
        </w:rPr>
        <w:t xml:space="preserve"> e se as duas colunas estão na ordem acima.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 cor do calendário novo é escolhida pelo sistema</w:t>
      </w:r>
      <w:r>
        <w:rPr>
          <w:color w:val="1A3A5A"/>
        </w:rPr>
        <w:t>, entre as que ainda não estão em uso — para dois calendários nunca se confundirem no mês.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>Depois de criado, ele é um calendário como qualquer outro: aparece na barra lateral, pode receber feriado avulso pelo modal e serve como agenda de feriados nas telas que pedem um *holiday schedule*.</w:t>
      </w:r>
    </w:p>
    <w:p>
      <w:pPr>
        <w:pStyle w:val="Heading2"/>
      </w:pPr>
      <w:r>
        <w:rPr>
          <w:color w:val="0066CC"/>
          <w:sz w:val="30"/>
        </w:rPr>
        <w:t>4. Perguntas Frequentes</w:t>
      </w:r>
    </w:p>
    <w:p>
      <w:pPr>
        <w:pStyle w:val="Heading3"/>
      </w:pPr>
      <w:r>
        <w:rPr>
          <w:sz w:val="25"/>
        </w:rPr>
        <w:t>4.1. A linha está marcada como "Missing Counterparty" e não consigo aprovar</w:t>
      </w:r>
    </w:p>
    <w:p>
      <w:r>
        <w:rPr>
          <w:b/>
        </w:rPr>
        <w:t>O que está acontecendo.</w:t>
      </w:r>
      <w:r>
        <w:t xml:space="preserve"> O accronym enviado pela API não existe nem no </w:t>
      </w:r>
      <w:r>
        <w:rPr>
          <w:b/>
        </w:rPr>
        <w:t>Reference Data</w:t>
      </w:r>
      <w:r>
        <w:t xml:space="preserve">, nem no mapeamento </w:t>
      </w:r>
      <w:r>
        <w:rPr>
          <w:b/>
        </w:rPr>
        <w:t>Legal Entity × Accronym</w:t>
      </w:r>
      <w:r>
        <w:t>. O sistema prefere deixar os campos em branco a exibir uma contraparte errada.</w:t>
      </w:r>
    </w:p>
    <w:p>
      <w:r>
        <w:rPr>
          <w:b/>
        </w:rPr>
        <w:t>Como resolver:</w:t>
      </w:r>
    </w:p>
    <w:p>
      <w:pPr>
        <w:pStyle w:val="ListNumber"/>
      </w:pPr>
      <w:r>
        <w:t>Abra a operação e verifique qual accronym a API enviou, no campo *End Counterparty*.</w:t>
      </w:r>
    </w:p>
    <w:p>
      <w:pPr>
        <w:pStyle w:val="ListNumber"/>
      </w:pPr>
      <w:r>
        <w:t xml:space="preserve">Se for um </w:t>
      </w:r>
      <w:r>
        <w:rPr>
          <w:b/>
        </w:rPr>
        <w:t>cliente</w:t>
      </w:r>
      <w:r>
        <w:t xml:space="preserve">, cadastre-o em </w:t>
      </w:r>
      <w:r>
        <w:rPr>
          <w:b/>
        </w:rPr>
        <w:t>Data Base → Reference Data</w:t>
      </w:r>
      <w:r>
        <w:t>, com o accronym idêntico ao da API.</w:t>
      </w:r>
    </w:p>
    <w:p>
      <w:pPr>
        <w:pStyle w:val="ListNumber"/>
      </w:pPr>
      <w:r>
        <w:t xml:space="preserve">Se for uma </w:t>
      </w:r>
      <w:r>
        <w:rPr>
          <w:b/>
        </w:rPr>
        <w:t>perna interna JPM</w:t>
      </w:r>
      <w:r>
        <w:t xml:space="preserve"> (JPM, MGT ou Lawton), cadastre em </w:t>
      </w:r>
      <w:r>
        <w:rPr>
          <w:b/>
        </w:rPr>
        <w:t>Data Base → Mapping → Legal Entity × Accronym</w:t>
      </w:r>
      <w:r>
        <w:t>.</w:t>
      </w:r>
    </w:p>
    <w:p>
      <w:pPr>
        <w:pStyle w:val="ListNumber"/>
      </w:pPr>
      <w:r>
        <w:t xml:space="preserve">Volte à linha, clique no badge vermelho e escolha </w:t>
      </w:r>
      <w:r>
        <w:rPr>
          <w:b/>
        </w:rPr>
        <w:t>Reload Data</w:t>
      </w:r>
      <w:r>
        <w:t>. A marcação desaparece sem precisar recarregar a página.</w:t>
      </w:r>
    </w:p>
    <w:p>
      <w:pPr>
        <w:pStyle w:val="Heading3"/>
      </w:pPr>
      <w:r>
        <w:rPr>
          <w:sz w:val="25"/>
        </w:rPr>
        <w:t>4.2. Cliquei em Premium e apareceu "Nothing to Generate", mas há operação com Spot Date de hoje</w:t>
      </w:r>
    </w:p>
    <w:p>
      <w:r>
        <w:t>Há duas causas possíveis, nesta ordem de probabilidade:</w:t>
      </w:r>
    </w:p>
    <w:p>
      <w:pPr>
        <w:pStyle w:val="ListNumber"/>
      </w:pPr>
      <w:r>
        <w:rPr>
          <w:b/>
        </w:rPr>
        <w:t>A contraparte não está resolvida.</w:t>
      </w:r>
      <w:r>
        <w:t xml:space="preserve"> O aviso de prêmio é gerado apenas para contrapartes da conta CETIP de cliente. Se as colunas </w:t>
      </w:r>
      <w:r>
        <w:rPr>
          <w:b/>
        </w:rPr>
        <w:t>Accronym</w:t>
      </w:r>
      <w:r>
        <w:t xml:space="preserve"> ou </w:t>
      </w:r>
      <w:r>
        <w:rPr>
          <w:b/>
        </w:rPr>
        <w:t>Client</w:t>
      </w:r>
      <w:r>
        <w:t xml:space="preserve"> estiverem vazias, o sistema não consegue chegar até a conta. Cadastre a contraparte conforme o item 4.1.</w:t>
      </w:r>
    </w:p>
    <w:p>
      <w:pPr>
        <w:pStyle w:val="ListNumber"/>
      </w:pPr>
      <w:r>
        <w:rPr>
          <w:b/>
        </w:rPr>
        <w:t>A Spot Date não é hoje de fato.</w:t>
      </w:r>
      <w:r>
        <w:t xml:space="preserve"> O filtro compara com o </w:t>
      </w:r>
      <w:r>
        <w:rPr>
          <w:b/>
        </w:rPr>
        <w:t>dia corrente</w:t>
      </w:r>
      <w:r>
        <w:t>, e não com a Reference Date da tela. Se você está consultando uma data passada, o prêmio daquele dia já não é D0.</w:t>
      </w:r>
    </w:p>
    <w:p>
      <w:pPr>
        <w:pStyle w:val="Heading3"/>
      </w:pPr>
      <w:r>
        <w:rPr>
          <w:sz w:val="25"/>
        </w:rPr>
        <w:t>4.3. Puxaram uma correção, mas a tela continua com o comportamento antigo</w:t>
      </w:r>
    </w:p>
    <w:p>
      <w:r>
        <w:rPr>
          <w:b/>
        </w:rPr>
        <w:t>O que está acontecendo.</w:t>
      </w:r>
      <w:r>
        <w:t xml:space="preserve"> O servidor da equipe roda sem recarga automática. Depois de uma atualização que altere código ou telas, o sistema precisa ser </w:t>
      </w:r>
      <w:r>
        <w:rPr>
          <w:b/>
        </w:rPr>
        <w:t>reiniciado</w:t>
      </w:r>
      <w:r>
        <w:t xml:space="preserve"> — caso contrário continua servindo a versão anterior.</w:t>
      </w:r>
    </w:p>
    <w:p>
      <w:r>
        <w:rPr>
          <w:b/>
        </w:rPr>
        <w:t>Como resolver:</w:t>
      </w:r>
    </w:p>
    <w:p>
      <w:pPr>
        <w:pStyle w:val="ListNumber"/>
      </w:pPr>
      <w:r>
        <w:t xml:space="preserve">Solicite o </w:t>
      </w:r>
      <w:r>
        <w:rPr>
          <w:b/>
        </w:rPr>
        <w:t>reinício do sistema</w:t>
      </w:r>
      <w:r>
        <w:t xml:space="preserve"> ao responsável pela instância.</w:t>
      </w:r>
    </w:p>
    <w:p>
      <w:pPr>
        <w:pStyle w:val="ListNumber"/>
      </w:pPr>
      <w:r>
        <w:t>No seu navegador, force uma atualização sem cache (</w:t>
      </w:r>
      <w:r>
        <w:rPr>
          <w:b/>
        </w:rPr>
        <w:t>Ctrl + Shift + R</w:t>
      </w:r>
      <w:r>
        <w:t>).</w:t>
      </w:r>
    </w:p>
    <w:p>
      <w:pPr>
        <w:ind w:left="360"/>
        <w:shd w:val="clear" w:fill="EAF2FB"/>
      </w:pPr>
      <w:r>
        <w:rPr>
          <w:b/>
          <w:color w:val="1A3A5A"/>
        </w:rPr>
        <w:t>Exceção:</w:t>
      </w:r>
      <w:r>
        <w:rPr>
          <w:color w:val="1A3A5A"/>
        </w:rPr>
        <w:t xml:space="preserve"> alterações feitas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valem imediatamente, sem reinício.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o sintoma for "o e-mail das 19h não chegou"</w:t>
      </w:r>
      <w:r>
        <w:rPr>
          <w:color w:val="1A3A5A"/>
        </w:rPr>
        <w:t xml:space="preserve">, verifique antes se havia algo pendente no </w:t>
      </w:r>
      <w:r>
        <w:rPr>
          <w:b/>
          <w:color w:val="1A3A5A"/>
        </w:rPr>
        <w:t>Monitor</w:t>
      </w:r>
      <w:r>
        <w:rPr>
          <w:color w:val="1A3A5A"/>
        </w:rPr>
        <w:t xml:space="preserve"> naquele horário. Quando está tudo resolvido, o e-mail não é enviado.</w:t>
      </w:r>
    </w:p>
    <w:p>
      <w:pPr>
        <w:pStyle w:val="Heading2"/>
      </w:pPr>
      <w:r>
        <w:rPr>
          <w:color w:val="0066CC"/>
          <w:sz w:val="30"/>
        </w:rPr>
        <w:t>5. Suporte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quem falar</w:t>
            </w:r>
          </w:p>
        </w:tc>
      </w:tr>
      <w:tr>
        <w:tc>
          <w:tcPr>
            <w:tcW w:type="dxa" w:w="4968"/>
          </w:tcPr>
          <w:p>
            <w:r>
              <w:t>Dúvida de processo operacional</w:t>
            </w:r>
          </w:p>
        </w:tc>
        <w:tc>
          <w:tcPr>
            <w:tcW w:type="dxa" w:w="4968"/>
          </w:tcPr>
          <w:p>
            <w:r>
              <w:t>Brazil OTC Operations</w:t>
            </w:r>
          </w:p>
        </w:tc>
      </w:tr>
      <w:tr>
        <w:tc>
          <w:tcPr>
            <w:tcW w:type="dxa" w:w="4968"/>
          </w:tcPr>
          <w:p>
            <w:r>
              <w:t>Erro de sistema ou comportamento inesperado de tela</w:t>
            </w:r>
          </w:p>
        </w:tc>
        <w:tc>
          <w:tcPr>
            <w:tcW w:type="dxa" w:w="4968"/>
          </w:tcPr>
          <w:p>
            <w:r>
              <w:t>Time de tecnologia responsável pelo OTC Tracker</w:t>
            </w:r>
          </w:p>
        </w:tc>
      </w:tr>
      <w:tr>
        <w:tc>
          <w:tcPr>
            <w:tcW w:type="dxa" w:w="4968"/>
          </w:tcPr>
          <w:p>
            <w:r>
              <w:t>Falta de acesso a uma página</w:t>
            </w:r>
          </w:p>
        </w:tc>
        <w:tc>
          <w:tcPr>
            <w:tcW w:type="dxa" w:w="4968"/>
          </w:tcPr>
          <w:p>
            <w:r>
              <w:t>Administrador do sistema (tela Page Access)</w:t>
            </w:r>
          </w:p>
        </w:tc>
      </w:tr>
    </w:tbl>
    <w:p/>
    <w:p>
      <w:pPr>
        <w:pStyle w:val="Heading2"/>
      </w:pPr>
      <w:r>
        <w:rPr>
          <w:color w:val="0066CC"/>
          <w:sz w:val="30"/>
        </w:rPr>
        <w:t>6. Manutenção deste guia</w:t>
      </w:r>
    </w:p>
    <w:p>
      <w:r>
        <w:t xml:space="preserve">Este documento é gerado a partir do arquivo </w:t>
      </w:r>
      <w:r>
        <w:rPr>
          <w:rFonts w:ascii="Consolas" w:hAnsi="Consolas"/>
          <w:color w:val="B03060"/>
        </w:rPr>
        <w:t>GUIA_DO_USUARIO_OTC_TRACKER.md</w:t>
      </w:r>
      <w:r>
        <w:t xml:space="preserve">, que é a </w:t>
      </w:r>
      <w:r>
        <w:rPr>
          <w:b/>
        </w:rPr>
        <w:t>fonte única</w:t>
      </w:r>
      <w:r>
        <w:t>. Para atualizar:</w:t>
      </w:r>
    </w:p>
    <w:p>
      <w:pPr>
        <w:pStyle w:val="ListNumber"/>
      </w:pPr>
      <w:r>
        <w:t>Edite o Markdown.</w:t>
      </w:r>
    </w:p>
    <w:p>
      <w:pPr>
        <w:pStyle w:val="ListNumber"/>
      </w:pPr>
      <w:r>
        <w:t>Recapture as telas, se o layout tiver mudado:</w:t>
      </w:r>
    </w:p>
    <w:p>
      <w:pPr>
        <w:pStyle w:val="ListBullet2"/>
      </w:pPr>
      <w:r>
        <w:t>Suba o app local com o launcher de desenvolvimento.</w:t>
      </w:r>
    </w:p>
    <w:p>
      <w:pPr>
        <w:pStyle w:val="ListBullet2"/>
      </w:pPr>
      <w:r>
        <w:t xml:space="preserve">Rode </w:t>
      </w:r>
      <w:r>
        <w:rPr>
          <w:rFonts w:ascii="Consolas" w:hAnsi="Consolas"/>
          <w:color w:val="B03060"/>
        </w:rPr>
        <w:t>python scripts/sop-capture/capture_screens.py</w:t>
      </w:r>
      <w:r>
        <w:t>.</w:t>
      </w:r>
    </w:p>
    <w:p>
      <w:pPr>
        <w:pStyle w:val="ListNumber"/>
      </w:pPr>
      <w:r>
        <w:t>Gere o Word novamente:</w:t>
      </w:r>
    </w:p>
    <w:p>
      <w:pPr>
        <w:pStyle w:val="ListBullet2"/>
      </w:pPr>
      <w:r>
        <w:rPr>
          <w:rFonts w:ascii="Consolas" w:hAnsi="Consolas"/>
          <w:color w:val="B03060"/>
        </w:rPr>
        <w:t>python scripts/build_sop_docx.py GUIA_DO_USUARIO_OTC_TRACKER.md</w:t>
      </w:r>
    </w:p>
    <w:p>
      <w:pPr>
        <w:ind w:left="360"/>
        <w:shd w:val="clear" w:fill="EAF2FB"/>
      </w:pPr>
      <w:r>
        <w:rPr>
          <w:b/>
          <w:color w:val="1A3A5A"/>
        </w:rPr>
        <w:t>Ao trocar as telas, garanta que os dados exibidos sejam sempre fictícios.</w:t>
      </w:r>
      <w:r>
        <w:rPr>
          <w:color w:val="1A3A5A"/>
        </w:rPr>
        <w:t xml:space="preserve"> Nenhum dado real de cliente, conta, servidor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