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h78aj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81z_vz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 xml:space="preserve">e-Financeira (KAPITAL · ATHENA-NDF · ATHENA-FXO · PYRAMID) *(em construção)* · Accrual · MtM · </w:t>
            </w:r>
            <w:r>
              <w:rPr>
                <w:b/>
              </w:rPr>
              <w:t>WHT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wfsfzc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aelr7w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s_65uc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*Initiative alerts* (uma iniciativa em que você está ficou mais de 5 dias úteis sem atualização, tem prazo — dela ou de uma tarefa — a 2 dias úteis, ou termina hoje; 17.3),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uvt16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ibem64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gisijo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4vja4q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y_3tc3v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r>
        <w:rPr>
          <w:b/>
        </w:rPr>
        <w:t>Passo a passo — owner e backup de cada tarefa:</w:t>
      </w:r>
    </w:p>
    <w:p>
      <w:pPr>
        <w:pStyle w:val="ListNumber"/>
      </w:pPr>
      <w:r>
        <w:t xml:space="preserve">Clique em </w:t>
      </w:r>
      <w:r>
        <w:rPr>
          <w:b/>
        </w:rPr>
        <w:t>Owners</w:t>
      </w:r>
      <w:r>
        <w:t>, na barra ao lado da Reference date.</w:t>
      </w:r>
    </w:p>
    <w:p>
      <w:pPr>
        <w:pStyle w:val="ListNumber"/>
      </w:pPr>
      <w:r>
        <w:t xml:space="preserve">Cada linha diz uma tarefa, a </w:t>
      </w:r>
      <w:r>
        <w:rPr>
          <w:b/>
        </w:rPr>
        <w:t>entidade</w:t>
      </w:r>
      <w:r>
        <w:t xml:space="preserve"> e as duas pessoas: o </w:t>
      </w:r>
      <w:r>
        <w:rPr>
          <w:b/>
        </w:rPr>
        <w:t>Owner</w:t>
      </w:r>
      <w:r>
        <w:t xml:space="preserve">, que responde pela tarefa, e o </w:t>
      </w:r>
      <w:r>
        <w:rPr>
          <w:b/>
        </w:rPr>
        <w:t>Backup</w:t>
      </w:r>
      <w:r>
        <w:t xml:space="preserve">, que a cobre na ausência dele. Em *Entity*, </w:t>
      </w:r>
      <w:r>
        <w:rPr>
          <w:b/>
        </w:rPr>
        <w:t>All</w:t>
      </w:r>
      <w:r>
        <w:t xml:space="preserve"> é a tarefa inteira; escolha </w:t>
      </w:r>
      <w:r>
        <w:rPr>
          <w:b/>
        </w:rPr>
        <w:t>JPM</w:t>
      </w:r>
      <w:r>
        <w:t xml:space="preserve">, </w:t>
      </w:r>
      <w:r>
        <w:rPr>
          <w:b/>
        </w:rPr>
        <w:t>MGT</w:t>
      </w:r>
      <w:r>
        <w:t xml:space="preserve"> ou </w:t>
      </w:r>
      <w:r>
        <w:rPr>
          <w:b/>
        </w:rPr>
        <w:t>LAW</w:t>
      </w:r>
      <w:r>
        <w:t xml:space="preserve"> para dividir a tarefa por entidade — por exemplo, *B3 Registration* da </w:t>
      </w:r>
      <w:r>
        <w:rPr>
          <w:b/>
        </w:rPr>
        <w:t>MGT</w:t>
      </w:r>
      <w:r>
        <w:t xml:space="preserve"> com o Augusto de owner e o Theodoro de backup, e *Confirmations* da </w:t>
      </w:r>
      <w:r>
        <w:rPr>
          <w:b/>
        </w:rPr>
        <w:t>MGT</w:t>
      </w:r>
      <w:r>
        <w:t xml:space="preserve"> com os mesmos dois.</w:t>
      </w:r>
    </w:p>
    <w:p>
      <w:pPr>
        <w:pStyle w:val="ListNumber"/>
      </w:pPr>
      <w:r>
        <w:rPr>
          <w:b/>
        </w:rPr>
        <w:t>Add</w:t>
      </w:r>
      <w:r>
        <w:t xml:space="preserve"> inclui uma linha; a lixeira tira. O backup é opcional e não pode ser o próprio owner.</w:t>
      </w:r>
    </w:p>
    <w:p>
      <w:pPr>
        <w:pStyle w:val="ListNumber"/>
      </w:pPr>
      <w:r>
        <w:t>Clique no botão verde para salvar. O cartão de cada tarefa passa a mostrar o owner (com a entidade, quando há) e, embaixo, o backup.</w:t>
      </w:r>
    </w:p>
    <w:p>
      <w:pPr>
        <w:pStyle w:val="ListNumber"/>
      </w:pPr>
      <w:r>
        <w:t xml:space="preserve">Quem acabou de ser designado recebe um aviso no </w:t>
      </w:r>
      <w:r>
        <w:rPr>
          <w:b/>
        </w:rPr>
        <w:t>sino</w:t>
      </w:r>
      <w:r>
        <w:t xml:space="preserve"> — só ele. Quem já estava designado não é avisado de novo.</w:t>
      </w:r>
    </w:p>
    <w:p>
      <w:pPr>
        <w:ind w:left="360"/>
        <w:shd w:val="clear" w:fill="EAF2FB"/>
      </w:pPr>
      <w:r>
        <w:rPr>
          <w:b/>
          <w:color w:val="1A3A5A"/>
        </w:rPr>
        <w:t>Quem designa:</w:t>
      </w:r>
      <w:r>
        <w:rPr>
          <w:color w:val="1A3A5A"/>
        </w:rPr>
        <w:t xml:space="preserve"> o Back Office e os administradores. Os demais abrem a janela e veem quem responde por cada tarefa, sem editar.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343res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1pwp8n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3xxo9c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wjq9s0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614ur7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btznj3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FXO, Options Commodities e as telas de Swap)* — gera o e-mail de afirmação econômica das operações com </w:t>
      </w:r>
      <w:r>
        <w:rPr>
          <w:b/>
        </w:rPr>
        <w:t>instituição financeira</w:t>
      </w:r>
      <w:r>
        <w:t xml:space="preserve"> fechadas hoje. Para afirmar também uma operação com </w:t>
      </w:r>
      <w:r>
        <w:rPr>
          <w:b/>
        </w:rPr>
        <w:t>outra contraparte</w:t>
      </w:r>
      <w:r>
        <w:t xml:space="preserve"> (um cliente, por exemplo), ou de outro dia, </w:t>
      </w:r>
      <w:r>
        <w:rPr>
          <w:b/>
        </w:rPr>
        <w:t>marque a linha</w:t>
      </w:r>
      <w:r>
        <w:t xml:space="preserve"> (nas telas de swap, a caixa do card) antes de clicar: as marcadas entram junto com as instituições financeiras do dia. Sem nenhuma marcada, saem só as instituições financeiras, como sempre. A perna interna (Lawton, Atacama, o B2B) nunca recebe. Mesmo passo a passo do Premium. *Na tela de FXO o e-mail ainda está em desenvolvimento.*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 (no </w:t>
      </w:r>
      <w:r>
        <w:rPr>
          <w:b/>
          <w:color w:val="1A3A5A"/>
        </w:rPr>
        <w:t>Bullet</w:t>
      </w:r>
      <w:r>
        <w:rPr>
          <w:color w:val="1A3A5A"/>
        </w:rPr>
        <w:t xml:space="preserve">, quando há prêmio, o valor e a </w:t>
      </w:r>
      <w:r>
        <w:rPr>
          <w:b/>
          <w:color w:val="1A3A5A"/>
        </w:rPr>
        <w:t>data de pagamento do prêmio</w:t>
      </w:r>
      <w:r>
        <w:rPr>
          <w:color w:val="1A3A5A"/>
        </w:rPr>
        <w:t xml:space="preserve">),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ind w:left="360"/>
        <w:shd w:val="clear" w:fill="EAF2FB"/>
      </w:pPr>
      <w:r>
        <w:rPr>
          <w:b/>
          <w:color w:val="1A3A5A"/>
        </w:rPr>
        <w:t>As marcas do card</w:t>
      </w:r>
      <w:r>
        <w:rPr>
          <w:color w:val="1A3A5A"/>
        </w:rPr>
        <w:t xml:space="preserve"> (Bullet e Cashflow): </w:t>
      </w:r>
      <w:r>
        <w:rPr>
          <w:b/>
          <w:color w:val="1A3A5A"/>
        </w:rPr>
        <w:t>Forward Start</w:t>
      </w:r>
      <w:r>
        <w:rPr>
          <w:color w:val="1A3A5A"/>
        </w:rPr>
        <w:t xml:space="preserve">, </w:t>
      </w:r>
      <w:r>
        <w:rPr>
          <w:b/>
          <w:color w:val="1A3A5A"/>
        </w:rPr>
        <w:t>Notional Update</w:t>
      </w:r>
      <w:r>
        <w:rPr>
          <w:color w:val="1A3A5A"/>
        </w:rPr>
        <w:t xml:space="preserve"> (a Atualização de Notional), </w:t>
      </w:r>
      <w:r>
        <w:rPr>
          <w:b/>
          <w:color w:val="1A3A5A"/>
        </w:rPr>
        <w:t>VCP Curve</w:t>
      </w:r>
      <w:r>
        <w:rPr>
          <w:color w:val="1A3A5A"/>
        </w:rPr>
        <w:t xml:space="preserve"> e </w:t>
      </w:r>
      <w:r>
        <w:rPr>
          <w:b/>
          <w:color w:val="1A3A5A"/>
        </w:rPr>
        <w:t>Premium</w:t>
      </w:r>
      <w:r>
        <w:rPr>
          <w:color w:val="1A3A5A"/>
        </w:rPr>
        <w:t xml:space="preserve">. O sistema as </w:t>
      </w:r>
      <w:r>
        <w:rPr>
          <w:b/>
          <w:color w:val="1A3A5A"/>
        </w:rPr>
        <w:t>marca sozinho</w:t>
      </w:r>
      <w:r>
        <w:rPr>
          <w:color w:val="1A3A5A"/>
        </w:rPr>
        <w:t xml:space="preserve"> pelos campos da operação: Forward Start quando a data de início é diferente do Trade Date; Atualização de Notional quando há índice e data de observação; Curva VCP quando uma das pernas é VCP; Prêmio quando há valor ou agenda de prêmio. Se a leitura errou, </w:t>
      </w:r>
      <w:r>
        <w:rPr>
          <w:b/>
          <w:color w:val="1A3A5A"/>
        </w:rPr>
        <w:t>clique na marca</w:t>
      </w:r>
      <w:r>
        <w:rPr>
          <w:color w:val="1A3A5A"/>
        </w:rPr>
        <w:t xml:space="preserve"> para corrigir: a correção fica gravada na operação, sobrevive a um novo import e aparece com o </w:t>
      </w:r>
      <w:r>
        <w:rPr>
          <w:b/>
          <w:color w:val="1A3A5A"/>
        </w:rPr>
        <w:t>contorno laranja e o dedo</w:t>
      </w:r>
      <w:r>
        <w:rPr>
          <w:color w:val="1A3A5A"/>
        </w:rPr>
        <w:t xml:space="preserve"> — o sinal de que foi marcada à mão e de que os campos devem ser conferidos. A marca </w:t>
      </w:r>
      <w:r>
        <w:rPr>
          <w:b/>
          <w:color w:val="1A3A5A"/>
        </w:rPr>
        <w:t>não muda o arquivo da B3</w:t>
      </w:r>
      <w:r>
        <w:rPr>
          <w:color w:val="1A3A5A"/>
        </w:rPr>
        <w:t xml:space="preserve">, que continua saindo dos campos da operação: para mudar o arquivo, corrija o campo no </w:t>
      </w:r>
      <w:r>
        <w:rPr>
          <w:b/>
          <w:color w:val="1A3A5A"/>
        </w:rPr>
        <w:t>Edit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O Edit dos swaps é dividido em blocos</w:t>
      </w:r>
      <w:r>
        <w:rPr>
          <w:color w:val="1A3A5A"/>
        </w:rPr>
        <w:t xml:space="preserve">: *Identification*, *Dates &amp; Notional*, *Premium*, *Notional Update*, </w:t>
      </w:r>
      <w:r>
        <w:rPr>
          <w:b/>
          <w:color w:val="1A3A5A"/>
        </w:rPr>
        <w:t>Curve A</w:t>
      </w:r>
      <w:r>
        <w:rPr>
          <w:color w:val="1A3A5A"/>
        </w:rPr>
        <w:t xml:space="preserve"> e </w:t>
      </w:r>
      <w:r>
        <w:rPr>
          <w:b/>
          <w:color w:val="1A3A5A"/>
        </w:rPr>
        <w:t>Curve B</w:t>
      </w:r>
      <w:r>
        <w:rPr>
          <w:color w:val="1A3A5A"/>
        </w:rPr>
        <w:t xml:space="preserve"> lado a lado, *VCP* e *Observations* (na Cetes, *Legs* no lugar das curvas). Campo que não pertence a nenhum bloco aparece no fim, em *Other*.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r354g_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6ulnln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d1q08j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yxzb10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isp9jw_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_6pkpt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5ngbpvz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6dwkknu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w6qfahv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iy9ryt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o1tq0q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e8qrhs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qxh06u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zih3b2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75k295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bral2cq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6o1m1_6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39ri08b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z9r0mo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4rnfh0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6jrkl3c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zo00yb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jren9_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d_xlzcz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4ftfwwj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pdbricb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gt3bf67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pPr>
        <w:ind w:left="360"/>
        <w:shd w:val="clear" w:fill="EAF2FB"/>
      </w:pPr>
      <w:r>
        <w:rPr>
          <w:b/>
          <w:color w:val="1A3A5A"/>
        </w:rPr>
        <w:t>A gravação leva só o que você mudou.</w:t>
      </w:r>
      <w:r>
        <w:rPr>
          <w:color w:val="1A3A5A"/>
        </w:rPr>
        <w:t xml:space="preserve"> Se outra pessoa (ou a esteira de confirmação) gravou a mesma linha depois que a sua tela carregou, o que ela gravou fica — o seu Save aplica só os campos que você alterou. Se a linha foi </w:t>
      </w:r>
      <w:r>
        <w:rPr>
          <w:b/>
          <w:color w:val="1A3A5A"/>
        </w:rPr>
        <w:t>apagada</w:t>
      </w:r>
      <w:r>
        <w:rPr>
          <w:color w:val="1A3A5A"/>
        </w:rPr>
        <w:t xml:space="preserve"> por outra pessoa nesse meio-tempo, o sistema avisa e não a recria: recarregue a tela. E o </w:t>
      </w:r>
      <w:r>
        <w:rPr>
          <w:b/>
          <w:color w:val="1A3A5A"/>
        </w:rPr>
        <w:t>Delete</w:t>
      </w:r>
      <w:r>
        <w:rPr>
          <w:color w:val="1A3A5A"/>
        </w:rPr>
        <w:t xml:space="preserve"> só tira a linha da tabela depois que o servidor confirma; se o banco estiver ocupado, a janela diz e a linha continua.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h1jkdm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z1ipgh9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3x4onbc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wohby_1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grade tem as mesmas travas do Confirmations Monitor:</w:t>
      </w:r>
      <w:r>
        <w:rPr>
          <w:color w:val="1A3A5A"/>
        </w:rPr>
        <w:t xml:space="preserve"> o MO e o FO só validam </w:t>
      </w:r>
      <w:r>
        <w:rPr>
          <w:b/>
          <w:color w:val="1A3A5A"/>
        </w:rPr>
        <w:t>depois do OTC</w:t>
      </w:r>
      <w:r>
        <w:rPr>
          <w:color w:val="1A3A5A"/>
        </w:rPr>
        <w:t xml:space="preserve">; com o MO ou o FO já validados, não se desfaz só a validação do OTC — para reabrir a esteira, ponha o *Pending* em </w:t>
      </w:r>
      <w:r>
        <w:rPr>
          <w:rFonts w:ascii="Consolas" w:hAnsi="Consolas"/>
          <w:color w:val="1A3A5A"/>
        </w:rPr>
        <w:t>Pending OTC</w:t>
      </w:r>
      <w:r>
        <w:rPr>
          <w:color w:val="1A3A5A"/>
        </w:rPr>
        <w:t xml:space="preserve">; e preencher </w:t>
      </w:r>
      <w:r>
        <w:rPr>
          <w:b/>
          <w:color w:val="1A3A5A"/>
        </w:rPr>
        <w:t>Sent to Client</w:t>
      </w:r>
      <w:r>
        <w:rPr>
          <w:color w:val="1A3A5A"/>
        </w:rPr>
        <w:t xml:space="preserve"> é o *Mark as sent*: é do OTC, só com todas as validações feitas e com a </w:t>
      </w:r>
      <w:r>
        <w:rPr>
          <w:b/>
          <w:color w:val="1A3A5A"/>
        </w:rPr>
        <w:t>data do callback</w:t>
      </w:r>
      <w:r>
        <w:rPr>
          <w:color w:val="1A3A5A"/>
        </w:rPr>
        <w:t xml:space="preserve"> preenchida (menos nas confirmações MGT × cliente, que não têm callback). Fora disso a janela diz o que falta e nada é gravado.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lvyo1cz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vx3r1j8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3e9o7nu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6mpcjof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blxz3kr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8pk26m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qqbgz91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dvs00h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xcqdpjk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4hbqjwf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nu3r1q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3"/>
      </w:pPr>
      <w:r>
        <w:rPr>
          <w:sz w:val="25"/>
        </w:rPr>
        <w:t>12.1. WHT — o imposto retido, por decêndio</w:t>
      </w:r>
    </w:p>
    <w:p>
      <w:r>
        <w:rPr>
          <w:b/>
        </w:rPr>
        <w:t>Menu › REGULATORY › WHT</w:t>
      </w:r>
    </w:p>
    <w:p>
      <w:r>
        <w:rPr>
          <w:b/>
        </w:rPr>
        <w:t>Para que serve:</w:t>
      </w:r>
      <w:r>
        <w:t xml:space="preserve"> conferir o IR das liquidações de cada </w:t>
      </w:r>
      <w:r>
        <w:rPr>
          <w:b/>
        </w:rPr>
        <w:t>decêndio</w:t>
      </w:r>
      <w:r>
        <w:t xml:space="preserve"> com o relatório de tributos do HUB (*Posição de Tributos*, do EasyTributos). O imposto é recolhido por decêndio — dias </w:t>
      </w:r>
      <w:r>
        <w:rPr>
          <w:b/>
        </w:rPr>
        <w:t>1 a 10</w:t>
      </w:r>
      <w:r>
        <w:t xml:space="preserve">, </w:t>
      </w:r>
      <w:r>
        <w:rPr>
          <w:b/>
        </w:rPr>
        <w:t>11 a 20</w:t>
      </w:r>
      <w:r>
        <w:t xml:space="preserve"> e </w:t>
      </w:r>
      <w:r>
        <w:rPr>
          <w:b/>
        </w:rPr>
        <w:t>21 ao fim do mês</w:t>
      </w:r>
      <w:r>
        <w:t xml:space="preserve"> —, no primeiro dia útil depois do fim de cada um. A tela mostra o decêndio da *Reference date* e a data do recolhimento.</w:t>
      </w:r>
    </w:p>
    <w:p>
      <w:r>
        <w:rPr>
          <w:b/>
        </w:rPr>
        <w:t>De onde vêm os dois lados:</w:t>
      </w:r>
    </w:p>
    <w:p>
      <w:pPr>
        <w:pStyle w:val="ListBullet"/>
      </w:pPr>
      <w:r>
        <w:rPr>
          <w:b/>
        </w:rPr>
        <w:t>OTC</w:t>
      </w:r>
      <w:r>
        <w:t xml:space="preserve"> — só as liquidações que o </w:t>
      </w:r>
      <w:r>
        <w:rPr>
          <w:b/>
        </w:rPr>
        <w:t>banco ou a MGT pagaram</w:t>
      </w:r>
      <w:r>
        <w:t xml:space="preserve">, com ou sem imposto (as isentas também). O </w:t>
      </w:r>
      <w:r>
        <w:rPr>
          <w:b/>
        </w:rPr>
        <w:t>prêmio de opção</w:t>
      </w:r>
      <w:r>
        <w:t xml:space="preserve"> vem em </w:t>
      </w:r>
      <w:r>
        <w:rPr>
          <w:b/>
        </w:rPr>
        <w:t>uma linha só, com o net</w:t>
      </w:r>
      <w:r>
        <w:t xml:space="preserve"> da contraparte no dia (o selo *net ×n* diz quantas operações entraram). As fontes são o </w:t>
      </w:r>
      <w:r>
        <w:rPr>
          <w:b/>
        </w:rPr>
        <w:t>NDF Summary</w:t>
      </w:r>
      <w:r>
        <w:t xml:space="preserve"> (termo de moeda e as recompras) e o </w:t>
      </w:r>
      <w:r>
        <w:rPr>
          <w:b/>
        </w:rPr>
        <w:t>Other Products</w:t>
      </w:r>
      <w:r>
        <w:t xml:space="preserve"> (swap, termo de mercadoria e opção). Elas chegam sozinhas quando alguém abre essas telas, importa o Cockpit ou salva o *Daily Settlement Files*; o botão </w:t>
      </w:r>
      <w:r>
        <w:rPr>
          <w:b/>
        </w:rPr>
        <w:t>Import Settlements</w:t>
      </w:r>
      <w:r>
        <w:t xml:space="preserve"> busca de uma vez todos os dias úteis do decêndio (e os dias do mês que ainda faltam).</w:t>
      </w:r>
    </w:p>
    <w:p>
      <w:pPr>
        <w:pStyle w:val="ListBullet"/>
      </w:pPr>
      <w:r>
        <w:rPr>
          <w:b/>
        </w:rPr>
        <w:t>HUB</w:t>
      </w:r>
      <w:r>
        <w:t xml:space="preserve"> — o relatório que o HUB manda, solto no </w:t>
      </w:r>
      <w:r>
        <w:rPr>
          <w:b/>
        </w:rPr>
        <w:t>dropzone</w:t>
      </w:r>
      <w:r>
        <w:t xml:space="preserve">. Pode ser </w:t>
      </w:r>
      <w:r>
        <w:rPr>
          <w:b/>
        </w:rPr>
        <w:t>um arquivo ou vários</w:t>
      </w:r>
      <w:r>
        <w:t xml:space="preserve"> (o 5557 num e o 5273 noutro, ou tudo junto). Reenviar um relatório corrigido </w:t>
      </w:r>
      <w:r>
        <w:rPr>
          <w:b/>
        </w:rPr>
        <w:t>substitui</w:t>
      </w:r>
      <w:r>
        <w:t xml:space="preserve"> as linhas daquela empresa e daquele DARF no decêndio — não duplica.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 </w:t>
      </w:r>
      <w:r>
        <w:rPr>
          <w:b/>
        </w:rPr>
        <w:t>Reference date</w:t>
      </w:r>
      <w:r>
        <w:t xml:space="preserve"> abre no dia útil anterior (D-1); troque-a para ver outro decêndio.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decêndio que ainda não foram importados.</w:t>
      </w:r>
    </w:p>
    <w:p>
      <w:pPr>
        <w:pStyle w:val="ListNumber"/>
      </w:pPr>
      <w:r>
        <w:t xml:space="preserve">Solte o(s) relatório(s) do HUB no dropzone e clique em </w:t>
      </w:r>
      <w:r>
        <w:rPr>
          <w:b/>
        </w:rPr>
        <w:t>Import HUB</w:t>
      </w:r>
      <w:r>
        <w:t>.</w:t>
      </w:r>
    </w:p>
    <w:p>
      <w:pPr>
        <w:pStyle w:val="ListNumber"/>
      </w:pPr>
      <w:r>
        <w:t>Confira os cartões e a tabela. Clicar num cartão filtra a tabela por aquele status.</w:t>
      </w:r>
    </w:p>
    <w:p>
      <w:pPr>
        <w:pStyle w:val="ListNumber"/>
      </w:pPr>
      <w:r>
        <w:t xml:space="preserve">Para as operações que o HUB </w:t>
      </w:r>
      <w:r>
        <w:rPr>
          <w:b/>
        </w:rPr>
        <w:t>não tem</w:t>
      </w:r>
      <w:r>
        <w:t xml:space="preserve">, clique em </w:t>
      </w:r>
      <w:r>
        <w:rPr>
          <w:b/>
        </w:rPr>
        <w:t>HUB File</w:t>
      </w:r>
      <w:r>
        <w:t>: sai o arquivo que a equipe do HUB insere à mão. Com linhas marcadas na tabela, o arquivo leva só as marcadas.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4968"/>
          </w:tcPr>
          <w:p>
            <w:r>
              <w:t>A operação está nos dois lados e tudo bate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Partial - …</w:t>
            </w:r>
          </w:p>
        </w:tc>
        <w:tc>
          <w:tcPr>
            <w:tcW w:type="dxa" w:w="4968"/>
          </w:tcPr>
          <w:p>
            <w:r>
              <w:t>Está nos dois lados, mas algum campo diverge — o status diz quais (*Trade Date*, *Gross Value*, *Tax*, *Counterparty*, *Code*, *Tributo*, *Legal Entity*)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OTC</w:t>
            </w:r>
          </w:p>
        </w:tc>
        <w:tc>
          <w:tcPr>
            <w:tcW w:type="dxa" w:w="4968"/>
          </w:tcPr>
          <w:p>
            <w:r>
              <w:t xml:space="preserve">Só no OTC Tracker — vai para o </w:t>
            </w:r>
            <w:r>
              <w:rPr>
                <w:b/>
              </w:rPr>
              <w:t>HUB File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HUB</w:t>
            </w:r>
          </w:p>
        </w:tc>
        <w:tc>
          <w:tcPr>
            <w:tcW w:type="dxa" w:w="4968"/>
          </w:tcPr>
          <w:p>
            <w:r>
              <w:t>Só no relatório do HUB</w:t>
            </w:r>
          </w:p>
        </w:tc>
      </w:tr>
    </w:tbl>
    <w:p/>
    <w:p>
      <w:r>
        <w:t xml:space="preserve">No topo, o </w:t>
      </w:r>
      <w:r>
        <w:rPr>
          <w:b/>
        </w:rPr>
        <w:t>resumo por código</w:t>
      </w:r>
      <w:r>
        <w:t xml:space="preserve"> soma, para cada código de imposto, as operações, o bruto e o imposto dos dois lados, e mostra a diferença.</w:t>
      </w:r>
    </w:p>
    <w:p>
      <w:r>
        <w:rPr>
          <w:b/>
        </w:rPr>
        <w:t>O piso de R$ 1,00:</w:t>
      </w:r>
      <w:r>
        <w:t xml:space="preserve"> o IR de 0,005% só é retido quando o acumulado do </w:t>
      </w:r>
      <w:r>
        <w:rPr>
          <w:b/>
        </w:rPr>
        <w:t>mês</w:t>
      </w:r>
      <w:r>
        <w:t xml:space="preserve"> da contraparte chega a R$ 1,00. O relatório do HUB mostra o imposto onde ele foi recolhido, mas o que tem de constar é o imposto de </w:t>
      </w:r>
      <w:r>
        <w:rPr>
          <w:b/>
        </w:rPr>
        <w:t>cada operação</w:t>
      </w:r>
      <w:r>
        <w:t xml:space="preserve">, no seu decêndio. A coluna </w:t>
      </w:r>
      <w:r>
        <w:rPr>
          <w:b/>
        </w:rPr>
        <w:t>OTC_IR</w:t>
      </w:r>
      <w:r>
        <w:t xml:space="preserve"> já traz essa quebra, e </w:t>
      </w:r>
      <w:r>
        <w:rPr>
          <w:b/>
        </w:rPr>
        <w:t>Devido</w:t>
      </w:r>
      <w:r>
        <w:t xml:space="preserve"> traz o imposto da própria operação:</w:t>
      </w:r>
    </w:p>
    <w:p>
      <w:pPr>
        <w:pStyle w:val="ListBullet"/>
      </w:pPr>
      <w:r>
        <w:t xml:space="preserve">no decêndio em que o acumulado passou de R$ 1,00, cada operação leva o </w:t>
      </w:r>
      <w:r>
        <w:rPr>
          <w:b/>
        </w:rPr>
        <w:t>seu</w:t>
      </w:r>
      <w:r>
        <w:t xml:space="preserve"> imposto, e a que passou leva também o que veio dos decêndios anteriores do mês;</w:t>
      </w:r>
    </w:p>
    <w:p>
      <w:pPr>
        <w:pStyle w:val="ListBullet"/>
      </w:pPr>
      <w:r>
        <w:t xml:space="preserve">os decêndios </w:t>
      </w:r>
      <w:r>
        <w:rPr>
          <w:b/>
        </w:rPr>
        <w:t>anteriores</w:t>
      </w:r>
      <w:r>
        <w:t xml:space="preserve"> a esse ficam com imposto </w:t>
      </w:r>
      <w:r>
        <w:rPr>
          <w:b/>
        </w:rPr>
        <w:t>zero</w:t>
      </w:r>
      <w:r>
        <w:t xml:space="preserve"> (é como eles foram informados);</w:t>
      </w:r>
    </w:p>
    <w:p>
      <w:pPr>
        <w:pStyle w:val="ListBullet"/>
      </w:pPr>
      <w:r>
        <w:t>os decêndios seguintes levam o imposto de cada operação;</w:t>
      </w:r>
    </w:p>
    <w:p>
      <w:pPr>
        <w:pStyle w:val="ListBullet"/>
      </w:pPr>
      <w:r>
        <w:t>se o mês não chega a R$ 1,00, tudo fica zero.</w:t>
      </w:r>
    </w:p>
    <w:p>
      <w:r>
        <w:rPr>
          <w:b/>
        </w:rPr>
        <w:t>Exemplo:</w:t>
      </w:r>
      <w:r>
        <w:t xml:space="preserve"> 0,60 em 02/10, 0,35 em 11/10 e 0,10 em 15/10. A de 02/10 fica com 0,00 no 1º decêndio. No 2º, a de 11/10 leva 0,35 e a de 15/10 leva 0,70 (os 0,10 dela mais os 0,60 de 02/10).</w:t>
      </w:r>
    </w:p>
    <w:p>
      <w:r>
        <w:rPr>
          <w:b/>
        </w:rPr>
        <w:t>Os cadastros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WHT — Tax Codes</w:t>
      </w:r>
      <w:r>
        <w:t xml:space="preserve"> (o código de imposto, o tributo e o prefixo do documento de cada produto, tributável ou isento), </w:t>
      </w:r>
      <w:r>
        <w:rPr>
          <w:b/>
        </w:rPr>
        <w:t>WHT — Company</w:t>
      </w:r>
      <w:r>
        <w:t xml:space="preserve"> (a empresa e a filial de cada entidade no EasyTributos) e </w:t>
      </w:r>
      <w:r>
        <w:rPr>
          <w:b/>
        </w:rPr>
        <w:t>WHT — Non-Resident Counterparties</w:t>
      </w:r>
      <w:r>
        <w:t xml:space="preserve"> (as contrapartes não residentes, que vão no DARF 5286).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re2p2z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sxbz2z6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3fh4dmr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4tw09ov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v74xyr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z63tdwa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4gmvurw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d2gr6rg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seis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 · Initiatives — Alerts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 · Branch Settlement Reverse Approval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4968"/>
          </w:tcPr>
          <w:p>
            <w:r>
              <w:t>New Version Released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Initiatives — Alerts</w:t>
            </w:r>
          </w:p>
        </w:tc>
        <w:tc>
          <w:tcPr>
            <w:tcW w:type="dxa" w:w="3312"/>
          </w:tcPr>
          <w:p>
            <w:r>
              <w:t xml:space="preserve">Os alertas das iniciativas em andamento (17.3): um e-mail por iniciativa para o box do campo </w:t>
            </w:r>
            <w:r>
              <w:rPr>
                <w:b/>
              </w:rPr>
              <w:t>TO</w:t>
            </w:r>
            <w:r>
              <w:t xml:space="preserve"> (padrão </w:t>
            </w:r>
            <w:r>
              <w:rPr>
                <w:rFonts w:ascii="Consolas" w:hAnsi="Consolas"/>
                <w:color w:val="B03060"/>
              </w:rPr>
              <w:t>brazil.otc.ops@jpmorgan.com</w:t>
            </w:r>
            <w:r>
              <w:t xml:space="preserve">) mais o líder, o time e os responsáveis das tarefas, com o campo </w:t>
            </w:r>
            <w:r>
              <w:rPr>
                <w:b/>
              </w:rPr>
              <w:t>CC</w:t>
            </w:r>
            <w:r>
              <w:t xml:space="preserve"> em cópia. </w:t>
            </w:r>
            <w:r>
              <w:rPr>
                <w:b/>
              </w:rPr>
              <w:t>Run</w:t>
            </w:r>
            <w:r>
              <w:t xml:space="preserve"> manda agora o que é devido hoje e ainda não saiu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08:00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wfsfzc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79vvzq5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23f4lpb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qagcw2u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epwht5_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h78aj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jrie8jq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xtgb31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muz2lxo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r>
        <w:rPr>
          <w:b/>
        </w:rPr>
        <w:t>Os alertas automáticos.</w:t>
      </w:r>
      <w:r>
        <w:t xml:space="preserve"> Todo dia útil, às 08:00, o sistema olha cada iniciativa </w:t>
      </w:r>
      <w:r>
        <w:rPr>
          <w:b/>
        </w:rPr>
        <w:t>On going</w:t>
      </w:r>
      <w:r>
        <w:t xml:space="preserve"> (as *On hold* e *Concluded* ficam de fora) e avisa quando: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Alerta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 update</w:t>
            </w:r>
          </w:p>
        </w:tc>
        <w:tc>
          <w:tcPr>
            <w:tcW w:type="dxa" w:w="4968"/>
          </w:tcPr>
          <w:p>
            <w:r>
              <w:t xml:space="preserve">A iniciativa está há </w:t>
            </w:r>
            <w:r>
              <w:rPr>
                <w:b/>
              </w:rPr>
              <w:t>mais de 5 dias úteis</w:t>
            </w:r>
            <w:r>
              <w:t xml:space="preserve"> sem nenhuma alteração (status, tarefa, comentário, marco, edição)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a data-alvo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o prazo de uma tarefa que ainda não está *Done*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4968"/>
          </w:tcPr>
          <w:p>
            <w:r>
              <w:t xml:space="preserve">A data-alvo da iniciativa é </w:t>
            </w:r>
            <w:r>
              <w:rPr>
                <w:b/>
              </w:rPr>
              <w:t>hoje</w:t>
            </w:r>
            <w:r>
              <w:t xml:space="preserve"> (se o dia passou sem o aviso — feriado, sistema parado —, ele sai nos 7 dias seguintes)</w:t>
            </w:r>
          </w:p>
        </w:tc>
      </w:tr>
    </w:tbl>
    <w:p/>
    <w:p>
      <w:r>
        <w:t xml:space="preserve">Para cada iniciativa com alerta sai </w:t>
      </w:r>
      <w:r>
        <w:rPr>
          <w:b/>
        </w:rPr>
        <w:t>um e-mail</w:t>
      </w:r>
      <w:r>
        <w:t xml:space="preserve"> — *Initiative alert — &lt;nome&gt; — &lt;data&gt;*, com o resumo e a lista dos alertas — para o box Brazil OTC Ops, o </w:t>
      </w:r>
      <w:r>
        <w:rPr>
          <w:b/>
        </w:rPr>
        <w:t>líder</w:t>
      </w:r>
      <w:r>
        <w:t xml:space="preserve">, o </w:t>
      </w:r>
      <w:r>
        <w:rPr>
          <w:b/>
        </w:rPr>
        <w:t>time</w:t>
      </w:r>
      <w:r>
        <w:t xml:space="preserve"> e os </w:t>
      </w:r>
      <w:r>
        <w:rPr>
          <w:b/>
        </w:rPr>
        <w:t>responsáveis das tarefas</w:t>
      </w:r>
      <w:r>
        <w:t xml:space="preserve">, com a cópia configurada no Control Panel (14.2, *Initiatives — Alerts*). No </w:t>
      </w:r>
      <w:r>
        <w:rPr>
          <w:b/>
        </w:rPr>
        <w:t>sino</w:t>
      </w:r>
      <w:r>
        <w:t xml:space="preserve">, o aviso aparece só para quem está na iniciativa, com o logo do OTC Tracker. </w:t>
      </w:r>
      <w:r>
        <w:rPr>
          <w:b/>
        </w:rPr>
        <w:t>Cada alerta sai uma vez só</w:t>
      </w:r>
      <w:r>
        <w:t>: o mesmo prazo não é avisado de novo no dia seguinte, e uma iniciativa parada volta a ser avisada só depois de uma nova atualização seguida de mais 5 dias úteis sem nada. Quem não quiser o aviso no sino o desliga em Settings (3.9), em *Initiative alerts* — o e-mail continua.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yfq2jb7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5no8jgb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