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38nz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25lwkx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jfu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t>Swap · NDF · Options · COE · DCE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hndgtj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1q0719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s6501_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x9pk9a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ogk3q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b0wyho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y98oi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ixdhbq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b4crwy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eca_n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z5ck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0cfq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popnx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7f74fg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88dne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wete39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yk8ery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yl2vng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7i9s7s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u4aziq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06s3i3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8txd1q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3l8vqa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9s0w07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akiq55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fiok13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lqna0i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u8_k_z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0izzwr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qg3454h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gepe36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vh4tzw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quatro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xz0y_h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cx8z86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arpvwd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e_vcuck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4vbtgw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rniic0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alzod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8o0zbpq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g6cyx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bkri65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szlsx4i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je9tsvh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wq_73b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oqh5zgr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y6bzy3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fl4jt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p6wwz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kczhmg9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zfqaak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hknvim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>Quais linhas do Operations B3 entram numa apuração de liquidação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, e agora abre seis telas de</w:t>
      </w:r>
    </w:p>
    <w:p>
      <w:r>
        <w:t xml:space="preserve">mercado: </w:t>
      </w:r>
      <w:r>
        <w:rPr>
          <w:b/>
        </w:rPr>
        <w:t>Quotes</w:t>
      </w:r>
      <w:r>
        <w:t xml:space="preserve">, </w:t>
      </w:r>
      <w:r>
        <w:rPr>
          <w:b/>
        </w:rPr>
        <w:t>Fixed Income</w:t>
      </w:r>
      <w:r>
        <w:t xml:space="preserve">, </w:t>
      </w:r>
      <w:r>
        <w:rPr>
          <w:b/>
        </w:rPr>
        <w:t>Swap Calculator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>. As cinco novas vieram do projeto *Precificação</w:t>
      </w:r>
    </w:p>
    <w:p>
      <w:r>
        <w:t>Swap*; as três de taxa (SOFR Index, Term SOFR e Euribor) leem a base local que</w:t>
      </w:r>
    </w:p>
    <w:p>
      <w:r>
        <w:t>o dropzone de cada uma alimenta, porque a curva a termo é licenciada e não se</w:t>
      </w:r>
    </w:p>
    <w:p>
      <w:r>
        <w:t>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xheped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28l76w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xcs2o_8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2rp7ia_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c904k8n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Salva os arquivos da CETIP na pasta do dia e manda o e-mail para o OTC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hndgtj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04gt9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js097w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tujdsy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gegbsau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k38nz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rlqq5gp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— Swap (CEM · EDG) · NDF (FX · Commodities) · Options (FXO · Commodities · EDG) · COE · DCE (todos)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(Quotes · Fixed Income · Swap Calculator · SOFR Index · Term SOFR · Euribor)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