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rPr>
        <w:t>UseCase Details:</w:t>
      </w:r>
    </w:p>
    <w:tbl>
      <w:tblPr>
        <w:tblStyle w:val="TableGrid"/>
        <w:tblW w:type="auto" w:w="0"/>
        <w:jc w:val="left"/>
        <w:tblLook w:firstColumn="1" w:firstRow="1" w:lastColumn="0" w:lastRow="0" w:noHBand="0" w:noVBand="1" w:val="04A0"/>
      </w:tblPr>
      <w:tblGrid>
        <w:gridCol w:w="4819"/>
        <w:gridCol w:w="4819"/>
      </w:tblGrid>
      <w:tr>
        <w:tc>
          <w:tcPr>
            <w:tcW w:type="dxa" w:w="1474"/>
            <w:shd w:val="clear" w:color="auto" w:fill="F2F2F2"/>
          </w:tcPr>
          <w:p>
            <w:r>
              <w:rPr>
                <w:b/>
              </w:rPr>
              <w:t>Name</w:t>
            </w:r>
          </w:p>
        </w:tc>
        <w:tc>
          <w:tcPr>
            <w:tcW w:type="dxa" w:w="8164"/>
          </w:tcPr>
          <w:p>
            <w:r>
              <w:t>Brazil Markets Operations – OTC Tracker – OTC Derivatives Lifecycle Workflow (Registration, Affirmation, Settlement &amp; Confirmations)</w:t>
            </w:r>
          </w:p>
        </w:tc>
      </w:tr>
      <w:tr>
        <w:tc>
          <w:tcPr>
            <w:tcW w:type="dxa" w:w="1474"/>
            <w:shd w:val="clear" w:color="auto" w:fill="F2F2F2"/>
          </w:tcPr>
          <w:p>
            <w:r>
              <w:rPr>
                <w:b/>
              </w:rPr>
              <w:t>Members</w:t>
            </w:r>
          </w:p>
        </w:tc>
        <w:tc>
          <w:tcPr>
            <w:tcW w:type="dxa" w:w="8164"/>
          </w:tcPr>
          <w:p>
            <w:r>
              <w:t>Renato Montoza Junior (U446822) – Use Case Lead</w:t>
            </w:r>
          </w:p>
          <w:p>
            <w:r>
              <w:t>Giulliano Accarini De Luccia (E930179) – Developer</w:t>
            </w:r>
          </w:p>
          <w:p>
            <w:r>
              <w:t>Augusto Tanaka (F552042) – Ops Sponsor</w:t>
            </w:r>
          </w:p>
        </w:tc>
      </w:tr>
      <w:tr>
        <w:tc>
          <w:tcPr>
            <w:tcW w:type="dxa" w:w="1474"/>
            <w:shd w:val="clear" w:color="auto" w:fill="F2F2F2"/>
          </w:tcPr>
          <w:p>
            <w:r>
              <w:rPr>
                <w:b/>
              </w:rPr>
              <w:t>Description</w:t>
            </w:r>
          </w:p>
        </w:tc>
        <w:tc>
          <w:tcPr>
            <w:tcW w:type="dxa" w:w="8164"/>
          </w:tcPr>
          <w:p>
            <w:r>
              <w:t>OTC Tracker is a Python workflow tool (Flask front-end, accessed via browser) that governs the full lifecycle of Brazil OTC derivatives — NDFs, FX and commodity options, swaps and unwinds — from trade capture and B3 registration file generation through economic affirmation, settlement and transactional documents (confirmations, FepWeb XML). It enforces maker-checker controls and team-level segregation of duties (OTC, MO, FO), uses role- and page-based access with SID + email-code authentication, and keeps a permanent audit trail of every status change. It processes about 150–200 new trades, 50–70 settlements and 15 confirmations per day (roughly 3,150–4,200 trades, 1,050–1,470 settlements and 315 confirmations a month). The tool is live and registered in IA Hub (ID 88067) under Transformation Tools controls.</w:t>
            </w:r>
          </w:p>
        </w:tc>
      </w:tr>
    </w:tbl>
    <w:p>
      <w:pPr>
        <w:spacing w:after="40" w:before="200"/>
      </w:pPr>
      <w:r>
        <w:rPr>
          <w:b/>
        </w:rPr>
        <w:t>Executive Summary</w:t>
      </w:r>
    </w:p>
    <w:p>
      <w:pPr>
        <w:spacing w:after="0" w:before="0"/>
      </w:pPr>
      <w:r>
        <w:rPr>
          <w:b w:val="0"/>
        </w:rPr>
        <w:t xml:space="preserve">We are requesting approval to onboard </w:t>
      </w:r>
      <w:r>
        <w:rPr>
          <w:b/>
        </w:rPr>
        <w:t>OTC Tracker</w:t>
      </w:r>
      <w:r>
        <w:rPr>
          <w:b w:val="0"/>
        </w:rPr>
        <w:t xml:space="preserve"> as a CIB pilot for the Stratos platform. OTC Tracker is a live, business-critical workflow tool that governs the Brazil OTC derivatives lifecycle, handling roughly </w:t>
      </w:r>
      <w:r>
        <w:rPr>
          <w:b/>
        </w:rPr>
        <w:t>3,150–4,200 new trades, 1,050–1,470 settlements and 315 confirmations each month</w:t>
      </w:r>
      <w:r>
        <w:rPr>
          <w:b w:val="0"/>
        </w:rPr>
        <w:t>. Today it runs as one instance per user, each on its own Windows workstation, all sharing the same database files on a network share. This model is fragile, slow to start and incompatible with Windows 11 migration standards, which creates operational disruption risk to a regulated workflow. Stratos migration directly addresses this infrastructure vulnerability while maintaining existing controls and audit requirements. Beyond the migration, the pilot delivers two integrations that remove the remaining manual steps in the workflow: B3/CETIP via Batch Conecta and FepWeb via API.</w:t>
      </w:r>
    </w:p>
    <w:p>
      <w:pPr>
        <w:spacing w:after="40" w:before="200"/>
      </w:pPr>
      <w:r>
        <w:rPr>
          <w:b/>
        </w:rPr>
        <w:t>Business Context</w:t>
      </w:r>
    </w:p>
    <w:p>
      <w:pPr>
        <w:spacing w:after="20" w:before="0"/>
      </w:pPr>
      <w:r>
        <w:rPr>
          <w:b w:val="0"/>
        </w:rPr>
        <w:t>OTC Tracker covers the end-to-end lifecycle of Brazil OTC derivatives:</w:t>
      </w:r>
    </w:p>
    <w:p>
      <w:pPr>
        <w:pStyle w:val="ListBullet"/>
        <w:spacing w:after="20"/>
        <w:ind w:left="567"/>
      </w:pPr>
      <w:r>
        <w:rPr>
          <w:b/>
        </w:rPr>
        <w:t xml:space="preserve">Trade capture and registration: </w:t>
      </w:r>
      <w:r>
        <w:rPr>
          <w:b w:val="0"/>
        </w:rPr>
        <w:t>trades imported from Athena, with the B3/CETIP registration files generated in the exchange's layouts for manual upload.</w:t>
      </w:r>
    </w:p>
    <w:p>
      <w:pPr>
        <w:pStyle w:val="ListBullet"/>
        <w:spacing w:after="20"/>
        <w:ind w:left="567"/>
      </w:pPr>
      <w:r>
        <w:rPr>
          <w:b/>
        </w:rPr>
        <w:t xml:space="preserve">Economic affirmation: </w:t>
      </w:r>
      <w:r>
        <w:rPr>
          <w:b w:val="0"/>
        </w:rPr>
        <w:t>affirmation e-mails sent to counterparties.</w:t>
      </w:r>
    </w:p>
    <w:p>
      <w:pPr>
        <w:pStyle w:val="ListBullet"/>
        <w:spacing w:after="20"/>
        <w:ind w:left="567"/>
      </w:pPr>
      <w:r>
        <w:rPr>
          <w:b/>
        </w:rPr>
        <w:t xml:space="preserve">Confirmations: </w:t>
      </w:r>
      <w:r>
        <w:rPr>
          <w:b w:val="0"/>
        </w:rPr>
        <w:t>confirmation documents and FepWeb XML generated, moving through a validation pipeline with SLA tracking.</w:t>
      </w:r>
    </w:p>
    <w:p>
      <w:pPr>
        <w:pStyle w:val="ListBullet"/>
        <w:spacing w:after="20"/>
        <w:ind w:left="567"/>
      </w:pPr>
      <w:r>
        <w:rPr>
          <w:b/>
        </w:rPr>
        <w:t xml:space="preserve">Settlement: </w:t>
      </w:r>
      <w:r>
        <w:rPr>
          <w:b w:val="0"/>
        </w:rPr>
        <w:t>settlement advices, IR (income tax) withholding and daily settlement reporting.</w:t>
      </w:r>
    </w:p>
    <w:p>
      <w:pPr>
        <w:pStyle w:val="ListBullet"/>
        <w:spacing w:after="20"/>
        <w:ind w:left="567"/>
      </w:pPr>
      <w:r>
        <w:rPr>
          <w:b/>
        </w:rPr>
        <w:t xml:space="preserve">Reconciliations: </w:t>
      </w:r>
      <w:r>
        <w:rPr>
          <w:b w:val="0"/>
        </w:rPr>
        <w:t>Pay/Rec, FXO, CGD, custodian and FepWeb matching.</w:t>
      </w:r>
    </w:p>
    <w:p>
      <w:pPr>
        <w:spacing w:after="0" w:before="60"/>
      </w:pPr>
      <w:r>
        <w:rPr>
          <w:b w:val="0"/>
        </w:rPr>
        <w:t xml:space="preserve">It replaced a set of spreadsheets, Alteryx workflows and e-mail-based controls. The tool processes approximately </w:t>
      </w:r>
      <w:r>
        <w:rPr>
          <w:b/>
        </w:rPr>
        <w:t>150–200 new trades, 50–70 settlements and 15 confirmations per day</w:t>
      </w:r>
      <w:r>
        <w:rPr>
          <w:b w:val="0"/>
        </w:rPr>
        <w:t>.</w:t>
      </w:r>
    </w:p>
    <w:p>
      <w:pPr>
        <w:spacing w:after="40" w:before="200"/>
      </w:pPr>
      <w:r>
        <w:rPr>
          <w:b/>
        </w:rPr>
        <w:t>Key business value</w:t>
      </w:r>
    </w:p>
    <w:p>
      <w:pPr>
        <w:pStyle w:val="ListBullet"/>
        <w:spacing w:after="20"/>
        <w:ind w:left="567"/>
      </w:pPr>
      <w:r>
        <w:rPr>
          <w:b/>
        </w:rPr>
        <w:t xml:space="preserve">System-enforced segregation of duties: </w:t>
      </w:r>
      <w:r>
        <w:rPr>
          <w:b w:val="0"/>
        </w:rPr>
        <w:t>maker-checker on every trade (whoever imports or edits a trade cannot approve or send it). Each confirmation stage is signed only by its own team (OTC → Back Office, then MO and FO in parallel), with SLA deadlines in business days and mandatory justification after the deadline.</w:t>
      </w:r>
    </w:p>
    <w:p>
      <w:pPr>
        <w:pStyle w:val="ListBullet"/>
        <w:spacing w:after="20"/>
        <w:ind w:left="567"/>
      </w:pPr>
      <w:r>
        <w:rPr>
          <w:b/>
        </w:rPr>
        <w:t xml:space="preserve">Authentication and audit trail: </w:t>
      </w:r>
      <w:r>
        <w:rPr>
          <w:b w:val="0"/>
        </w:rPr>
        <w:t>SID-based access with one-time e-mail code verification, role-based and page-level access control, and a permanent record of maker, checker, timestamps and status on every workflow stage.</w:t>
      </w:r>
    </w:p>
    <w:p>
      <w:pPr>
        <w:pStyle w:val="ListBullet"/>
        <w:spacing w:after="20"/>
        <w:ind w:left="567"/>
      </w:pPr>
      <w:r>
        <w:rPr>
          <w:b/>
        </w:rPr>
        <w:t xml:space="preserve">Controlled data: </w:t>
      </w:r>
      <w:r>
        <w:rPr>
          <w:b w:val="0"/>
        </w:rPr>
        <w:t>48 reference mappings (currencies, B3 accounts, legal entities, IR exemptions, validation rules) are maintained through the application screens instead of code or spreadsheets. Every change is effective immediately and traceable.</w:t>
      </w:r>
    </w:p>
    <w:p>
      <w:pPr>
        <w:pStyle w:val="ListBullet"/>
        <w:spacing w:after="20"/>
        <w:ind w:left="567"/>
      </w:pPr>
      <w:r>
        <w:rPr>
          <w:b/>
        </w:rPr>
        <w:t xml:space="preserve">Regulatory compliance: </w:t>
      </w:r>
      <w:r>
        <w:rPr>
          <w:b w:val="0"/>
        </w:rPr>
        <w:t>registered in IA Hub (ID 88067) under Transformation Tools controls. The B3 registration files and FepWeb XML it generates follow the exchange and regulator layouts, and automated tests check them byte by byte.</w:t>
      </w:r>
    </w:p>
    <w:p>
      <w:pPr>
        <w:pStyle w:val="ListBullet"/>
        <w:spacing w:after="20"/>
        <w:ind w:left="567"/>
      </w:pPr>
      <w:r>
        <w:rPr>
          <w:b/>
        </w:rPr>
        <w:t xml:space="preserve">End-to-end automation: </w:t>
      </w:r>
      <w:r>
        <w:rPr>
          <w:b w:val="0"/>
        </w:rPr>
        <w:t>direct B3 (Batch Conecta) and FepWeb (API) integrations remove the manual file uploads in registration and confirmation.</w:t>
      </w:r>
    </w:p>
    <w:p>
      <w:pPr>
        <w:spacing w:after="40" w:before="200"/>
      </w:pPr>
      <w:r>
        <w:rPr>
          <w:b/>
        </w:rPr>
        <w:t>Current risk</w:t>
      </w:r>
    </w:p>
    <w:p>
      <w:pPr>
        <w:spacing w:after="20" w:before="0"/>
      </w:pPr>
      <w:r>
        <w:rPr>
          <w:b w:val="0"/>
        </w:rPr>
        <w:t>Each user runs their own OTC Tracker instance on their workstation (single-host, open-port model), all sharing the same database files on an SMB network share. This model:</w:t>
      </w:r>
    </w:p>
    <w:p>
      <w:pPr>
        <w:pStyle w:val="ListBullet"/>
        <w:spacing w:after="20"/>
        <w:ind w:left="567"/>
      </w:pPr>
      <w:r>
        <w:rPr>
          <w:b/>
        </w:rPr>
        <w:t xml:space="preserve">Windows 11: </w:t>
      </w:r>
      <w:r>
        <w:rPr>
          <w:b w:val="0"/>
        </w:rPr>
        <w:t>is incompatible with Windows 11 migration standards.</w:t>
      </w:r>
    </w:p>
    <w:p>
      <w:pPr>
        <w:pStyle w:val="ListBullet"/>
        <w:spacing w:after="20"/>
        <w:ind w:left="567"/>
      </w:pPr>
      <w:r>
        <w:rPr>
          <w:b/>
        </w:rPr>
        <w:t xml:space="preserve">Concurrency: </w:t>
      </w:r>
      <w:r>
        <w:rPr>
          <w:b w:val="0"/>
        </w:rPr>
        <w:t>produces file-lock contention between instances, and a process interrupted mid-write can leave a database unreadable until manual recovery.</w:t>
      </w:r>
    </w:p>
    <w:p>
      <w:pPr>
        <w:pStyle w:val="ListBullet"/>
        <w:spacing w:after="20"/>
        <w:ind w:left="567"/>
      </w:pPr>
      <w:r>
        <w:rPr>
          <w:b/>
        </w:rPr>
        <w:t xml:space="preserve">Startup time: </w:t>
      </w:r>
      <w:r>
        <w:rPr>
          <w:b w:val="0"/>
        </w:rPr>
        <w:t>takes minutes to start, because code and data are read over the network share.</w:t>
      </w:r>
    </w:p>
    <w:p>
      <w:pPr>
        <w:spacing w:after="0" w:before="60"/>
      </w:pPr>
      <w:r>
        <w:rPr>
          <w:b w:val="0"/>
        </w:rPr>
        <w:t>Without intervention, we face a potential reversion to the spreadsheet- and e-mail-based process we eliminated, creating both operational disruption and audit exposure across registration, confirmation and settlement of regulated derivatives.</w:t>
      </w:r>
    </w:p>
    <w:p>
      <w:pPr>
        <w:spacing w:after="40" w:before="200"/>
      </w:pPr>
      <w:r>
        <w:rPr>
          <w:b/>
        </w:rPr>
        <w:t>Scope and Boundaries</w:t>
      </w:r>
    </w:p>
    <w:p>
      <w:pPr>
        <w:spacing w:after="20" w:before="0"/>
      </w:pPr>
      <w:r>
        <w:rPr>
          <w:b/>
        </w:rPr>
        <w:t>In scope:</w:t>
      </w:r>
    </w:p>
    <w:p>
      <w:pPr>
        <w:pStyle w:val="ListBullet"/>
        <w:spacing w:after="20"/>
        <w:ind w:left="567"/>
      </w:pPr>
      <w:r>
        <w:rPr>
          <w:b w:val="0"/>
        </w:rPr>
        <w:t>Migration and secure hosting of OTC Tracker as it exists today (workflow logic, controls, audit trail, reference mappings).</w:t>
      </w:r>
    </w:p>
    <w:p>
      <w:pPr>
        <w:pStyle w:val="ListBullet"/>
        <w:spacing w:after="20"/>
        <w:ind w:left="567"/>
      </w:pPr>
      <w:r>
        <w:rPr>
          <w:b w:val="0"/>
        </w:rPr>
        <w:t>Consolidation into a single hosted instance, resolving the infrastructure resiliency, concurrency and Windows 11 compatibility risks.</w:t>
      </w:r>
    </w:p>
    <w:p>
      <w:pPr>
        <w:pStyle w:val="ListBullet"/>
        <w:spacing w:after="20"/>
        <w:ind w:left="567"/>
      </w:pPr>
      <w:r>
        <w:rPr>
          <w:b w:val="0"/>
        </w:rPr>
        <w:t>Existing integrations: Athena (API with Kerberos SSO), Outlook mailboxes (booking recaps, FepWeb D-4 report), SMTP, market data sources (BACEN PTAX and CDI, IBGE IPCA, NY Fed SOFR, Yahoo Finance quotes) and the network share used for the Electronic Inventory.</w:t>
      </w:r>
    </w:p>
    <w:p>
      <w:pPr>
        <w:pStyle w:val="ListBullet"/>
        <w:spacing w:after="20"/>
        <w:ind w:left="567"/>
      </w:pPr>
      <w:r>
        <w:rPr>
          <w:b/>
        </w:rPr>
        <w:t xml:space="preserve">New integration with B3/CETIP via Batch Conecta: </w:t>
      </w:r>
      <w:r>
        <w:rPr>
          <w:b w:val="0"/>
        </w:rPr>
        <w:t>registration files are delivered automatically to the Batch Conecta directory, from which they are submitted to B3, replacing the manual upload done by the Operations team. Position and return files continue to be read as today.</w:t>
      </w:r>
    </w:p>
    <w:p>
      <w:pPr>
        <w:pStyle w:val="ListBullet"/>
        <w:spacing w:after="20"/>
        <w:ind w:left="567"/>
      </w:pPr>
      <w:r>
        <w:rPr>
          <w:b/>
        </w:rPr>
        <w:t xml:space="preserve">New integration with FepWeb via API: </w:t>
      </w:r>
      <w:r>
        <w:rPr>
          <w:b w:val="0"/>
        </w:rPr>
        <w:t>confirmations submitted directly from the tool, replacing the XML file generated for manual upload. The D-4 report used for FepWeb matching continues to be received by e-mail.</w:t>
      </w:r>
    </w:p>
    <w:p>
      <w:pPr>
        <w:spacing w:after="20" w:before="80"/>
      </w:pPr>
      <w:r>
        <w:rPr>
          <w:b/>
        </w:rPr>
        <w:t>Out of scope:</w:t>
      </w:r>
    </w:p>
    <w:p>
      <w:pPr>
        <w:pStyle w:val="ListBullet"/>
        <w:spacing w:after="20"/>
        <w:ind w:left="567"/>
      </w:pPr>
      <w:r>
        <w:rPr>
          <w:b w:val="0"/>
        </w:rPr>
        <w:t>Changes to business logic (the B3 and FepWeb integrations change only how existing files and confirmations are transmitted, not their content or controls).</w:t>
      </w:r>
    </w:p>
    <w:p>
      <w:pPr>
        <w:pStyle w:val="ListBullet"/>
        <w:spacing w:after="20"/>
        <w:ind w:left="567"/>
      </w:pPr>
      <w:r>
        <w:rPr>
          <w:b w:val="0"/>
        </w:rPr>
        <w:t>Integration with systems beyond those listed above.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4"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OTC Tracker – Stratos Use Case</dc:title>
  <dc:subject/>
  <dc:creator>Brazil Markets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