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  <w:sz w:val="38"/>
        </w:rPr>
        <w:t>Procedimento Operacional Padrão (SOP)</w:t>
      </w:r>
    </w:p>
    <w:p>
      <w:pPr>
        <w:pStyle w:val="Heading2"/>
      </w:pPr>
      <w:r>
        <w:rPr>
          <w:color w:val="0066CC"/>
          <w:sz w:val="30"/>
        </w:rPr>
        <w:t>Processamento de Operações de Derivativos OTC — Sistema OTC Tracker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Conteúdo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Empresa</w:t>
            </w:r>
          </w:p>
        </w:tc>
        <w:tc>
          <w:tcPr>
            <w:tcW w:type="dxa" w:w="4968"/>
          </w:tcPr>
          <w:p>
            <w:r>
              <w:t>JPMorgan Chase &amp; Co. — Back Office de Derivativos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4968"/>
          </w:tcPr>
          <w:p>
            <w:r>
              <w:t>OTC Tracker — Plataforma de Back Office de Derivativos OTC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968"/>
          </w:tcPr>
          <w:p>
            <w:r>
              <w:t xml:space="preserve">SOP-OTC-001 · </w:t>
            </w:r>
            <w:r>
              <w:rPr>
                <w:b/>
              </w:rPr>
              <w:t>Versão</w:t>
            </w:r>
            <w:r>
              <w:t xml:space="preserve"> 1.0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Data de emissão</w:t>
            </w:r>
          </w:p>
        </w:tc>
        <w:tc>
          <w:tcPr>
            <w:tcW w:type="dxa" w:w="4968"/>
          </w:tcPr>
          <w:p>
            <w:r>
              <w:t>08/07/2026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Público-alvo</w:t>
            </w:r>
          </w:p>
        </w:tc>
        <w:tc>
          <w:tcPr>
            <w:tcW w:type="dxa" w:w="4968"/>
          </w:tcPr>
          <w:p>
            <w:r>
              <w:t>Operador / Analista de Back Office de Derivativos OTC</w:t>
            </w:r>
          </w:p>
        </w:tc>
      </w:tr>
    </w:tbl>
    <w:p/>
    <w:p>
      <w:pPr>
        <w:ind w:left="360"/>
        <w:shd w:val="clear" w:fill="EAF2FB"/>
      </w:pPr>
      <w:r>
        <w:rPr>
          <w:b/>
          <w:color w:val="1A3A5A"/>
        </w:rPr>
        <w:t>Aviso de privacidade:</w:t>
      </w:r>
      <w:r>
        <w:rPr>
          <w:color w:val="1A3A5A"/>
        </w:rPr>
        <w:t xml:space="preserve"> as telas são renderizações reais do OTC Tracker; os dados exibidos (contrapartes, CNPJs, contas, valores, datas) são </w:t>
      </w:r>
      <w:r>
        <w:rPr>
          <w:b/>
          <w:color w:val="1A3A5A"/>
        </w:rPr>
        <w:t>fictícios</w:t>
      </w:r>
      <w:r>
        <w:rPr>
          <w:color w:val="1A3A5A"/>
        </w:rPr>
        <w:t>. Nenhum dado real de cliente, servidor ou credencial é reproduzido.</w:t>
      </w:r>
    </w:p>
    <w:p>
      <w:r>
        <w:t>═══════════════════════════════════════════════════════════════════════ --&gt;</w:t>
      </w:r>
    </w:p>
    <w:p>
      <w:pPr>
        <w:ind w:left="360"/>
        <w:shd w:val="clear" w:fill="EAF2FB"/>
      </w:pPr>
      <w:r>
        <w:rPr>
          <w:color w:val="1A3A5A"/>
        </w:rPr>
        <w:t xml:space="preserve">✏️ </w:t>
      </w:r>
      <w:r>
        <w:rPr>
          <w:b/>
          <w:color w:val="1A3A5A"/>
        </w:rPr>
        <w:t>Documento vivo.</w:t>
      </w:r>
      <w:r>
        <w:rPr>
          <w:color w:val="1A3A5A"/>
        </w:rPr>
        <w:t xml:space="preserve"> Ainda faltam módulos a desenvolver no código. Os módulos já prontos estão na seção 5; os pendentes estão listados na seção 5.99 (marque conforme forem entregues). Edite este </w:t>
      </w:r>
      <w:r>
        <w:rPr>
          <w:rFonts w:ascii="Consolas" w:hAnsi="Consolas"/>
          <w:color w:val="1A3A5A"/>
        </w:rPr>
        <w:t>.md</w:t>
      </w:r>
      <w:r>
        <w:rPr>
          <w:color w:val="1A3A5A"/>
        </w:rPr>
        <w:t xml:space="preserve"> e rode </w:t>
      </w:r>
      <w:r>
        <w:rPr>
          <w:rFonts w:ascii="Consolas" w:hAnsi="Consolas"/>
          <w:color w:val="1A3A5A"/>
        </w:rPr>
        <w:t>python scripts/build_sop_docx.py</w:t>
      </w:r>
      <w:r>
        <w:rPr>
          <w:color w:val="1A3A5A"/>
        </w:rPr>
        <w:t xml:space="preserve"> para regerar o Word.</w:t>
      </w:r>
    </w:p>
    <w:p>
      <w:pPr>
        <w:pStyle w:val="Heading2"/>
      </w:pPr>
      <w:r>
        <w:rPr>
          <w:color w:val="0066CC"/>
          <w:sz w:val="30"/>
        </w:rPr>
        <w:t>1. Índice</w:t>
      </w:r>
    </w:p>
    <w:p>
      <w:pPr>
        <w:pStyle w:val="ListBullet"/>
      </w:pPr>
      <w:r>
        <w:t>2. Visão Geral</w:t>
      </w:r>
    </w:p>
    <w:p>
      <w:pPr>
        <w:pStyle w:val="ListBullet"/>
      </w:pPr>
      <w:r>
        <w:t>3. Conceitos-Chave</w:t>
      </w:r>
    </w:p>
    <w:p>
      <w:pPr>
        <w:pStyle w:val="ListBullet"/>
      </w:pPr>
      <w:r>
        <w:t>4. Passo a Passo Operacional</w:t>
      </w:r>
    </w:p>
    <w:p>
      <w:pPr>
        <w:pStyle w:val="ListBullet"/>
      </w:pPr>
      <w:r>
        <w:t>5. Referência de Módulos (ordem do sidebar)</w:t>
      </w:r>
    </w:p>
    <w:p>
      <w:pPr>
        <w:pStyle w:val="ListBullet"/>
      </w:pPr>
      <w:r>
        <w:t>6. Tratamento de Exceções</w:t>
      </w:r>
    </w:p>
    <w:p>
      <w:pPr>
        <w:pStyle w:val="ListBullet"/>
      </w:pPr>
      <w:r>
        <w:t>7. Suporte</w:t>
      </w:r>
    </w:p>
    <w:p>
      <w:pPr>
        <w:pStyle w:val="Heading2"/>
      </w:pPr>
      <w:r>
        <w:rPr>
          <w:color w:val="0066CC"/>
          <w:sz w:val="30"/>
        </w:rPr>
        <w:t>2. Visão Geral</w:t>
      </w:r>
    </w:p>
    <w:p>
      <w:r>
        <w:t xml:space="preserve">O </w:t>
      </w:r>
      <w:r>
        <w:rPr>
          <w:b/>
        </w:rPr>
        <w:t>OTC Tracker</w:t>
      </w:r>
      <w:r>
        <w:t xml:space="preserve"> consolida, valida, registra e concilia operações de Derivativos de Balcão (OTC) — NDF, Opções (FXO e Commodities), Swap e COE — no ciclo diário de liquidação. O sistema importa os arquivos de posição, aplica as regras de negócio, gera os arquivos de registro no layout da câmara e permite a conciliação (recon) contra o retorno. Todo processamento é ancorado à </w:t>
      </w:r>
      <w:r>
        <w:rPr>
          <w:b/>
        </w:rPr>
        <w:t>Data Base</w:t>
      </w:r>
      <w:r>
        <w:t xml:space="preserve"> (data de referência).</w:t>
      </w:r>
    </w:p>
    <w:p>
      <w:pPr>
        <w:pStyle w:val="Heading2"/>
      </w:pPr>
      <w:r>
        <w:rPr>
          <w:color w:val="0066CC"/>
          <w:sz w:val="30"/>
        </w:rPr>
        <w:t>3. Conceitos-Chave</w:t>
      </w:r>
    </w:p>
    <w:p>
      <w:r>
        <w:rPr>
          <w:b/>
        </w:rPr>
        <w:t>Data Base</w:t>
      </w:r>
      <w:r>
        <w:t xml:space="preserve"> — eixo do processamento. Em branco, o sistema assume o dia útil anterior (calendário ANBIMA/câmara). Arquivos são organizados em pastas por data; reprocessar um dia sobrescreve só a porção daquele dia.</w:t>
      </w:r>
    </w:p>
    <w:p>
      <w:r>
        <w:rPr>
          <w:b/>
        </w:rPr>
        <w:t>Campos validados:</w:t>
      </w:r>
      <w:r>
        <w:t xml:space="preserve"> Trade Date, Maturity/Expiry, Strike, Notional, Data Base/Data de Referência MTM, Classe do Ativo Subjacente.</w:t>
      </w:r>
    </w:p>
    <w:p>
      <w:r>
        <w:rPr>
          <w:b/>
        </w:rPr>
        <w:t>Ciclo de vida:</w:t>
      </w:r>
      <w:r>
        <w:t xml:space="preserve"> Definir Data Base → Importar posição → Validar → Gerar registro → Conciliar (recon) → Encerrar (End Process).</w:t>
      </w:r>
    </w:p>
    <w:p>
      <w:pPr>
        <w:pStyle w:val="Heading2"/>
      </w:pPr>
      <w:r>
        <w:rPr>
          <w:color w:val="0066CC"/>
          <w:sz w:val="30"/>
        </w:rPr>
        <w:t>4. Passo a Passo Operacional</w:t>
      </w:r>
    </w:p>
    <w:p>
      <w:pPr>
        <w:pStyle w:val="Heading3"/>
      </w:pPr>
      <w:r>
        <w:rPr>
          <w:sz w:val="25"/>
        </w:rPr>
        <w:t>Passo 1 — Autenticar e definir a Data Base</w:t>
      </w:r>
    </w:p>
    <w:p>
      <w:r>
        <w:t>Faça login (com verificação em duas etapas) e abra o Painel de Controle. Em cada rotina, defina a "Reference date". Deixe em branco apenas para processar automaticamente o dia útil anterior. Exemplo fictício: para reprocessar 02/03/2026 da contraparte AURORA TRADING LTDA, selecione essa data.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64369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cfwkdm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4369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*Tela real do OTC Tracker — dados fictícios.*</w:t>
      </w:r>
    </w:p>
    <w:p>
      <w:pPr>
        <w:pStyle w:val="Heading3"/>
      </w:pPr>
      <w:r>
        <w:rPr>
          <w:sz w:val="25"/>
        </w:rPr>
        <w:t>Passo 2 — Importar / salvar os arquivos de posição</w:t>
      </w:r>
    </w:p>
    <w:p>
      <w:r>
        <w:t>Na tela do produto (ex.: NDF Cockpit, OTM Settlements, MtM Swap), arraste os arquivos na dropzone ou importe da pasta. O sistema reconhece o tipo pelo nome e exibe os contadores por categoria.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194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lkpwq0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9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*Tela real do OTC Tracker — dados fictícios.*</w:t>
      </w:r>
    </w:p>
    <w:p>
      <w:pPr>
        <w:pStyle w:val="Heading3"/>
      </w:pPr>
      <w:r>
        <w:rPr>
          <w:sz w:val="25"/>
        </w:rPr>
        <w:t>Passo 3 — Validar os campos e classificar a posição</w:t>
      </w:r>
    </w:p>
    <w:p>
      <w:r>
        <w:t>Revise as linhas (Trade Date, Vencimento, Strike, Notional, Classe). Use Adicionar/Editar/Remover e Confirmar. Os cards (ex.: Vanilla / Other Publisher / T+0 / Total no NDF Summary) mostram a classificação.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1426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yky80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4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*Tela real do OTC Tracker — dados fictícios.*</w:t>
      </w:r>
    </w:p>
    <w:p>
      <w:pPr>
        <w:pStyle w:val="Heading3"/>
      </w:pPr>
      <w:r>
        <w:rPr>
          <w:sz w:val="25"/>
        </w:rPr>
        <w:t>Passo 4 — Conferir a posição viva</w:t>
      </w:r>
    </w:p>
    <w:p>
      <w:r>
        <w:t>Nas telas de Live Position (somente leitura), confira a posição em custódia na Data Base. No NDF, os widgets Vanilla / Other Publisher / T+0 / Commodities / Total resumem a carteira.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3409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a6qh9f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4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*Tela real do OTC Tracker — dados fictícios.*</w:t>
      </w:r>
    </w:p>
    <w:p>
      <w:pPr>
        <w:pStyle w:val="Heading3"/>
      </w:pPr>
      <w:r>
        <w:rPr>
          <w:sz w:val="25"/>
        </w:rPr>
        <w:t>Passo 5 — Processar, conciliar e encerrar</w:t>
      </w:r>
    </w:p>
    <w:p>
      <w:r>
        <w:t>Gere o arquivo de registro (Process / Send batch), importe o retorno da câmara e rode o Recon; trate as divergências (OK/Check) e acione End Process. No MtM Swap todo esse ciclo está em uma tela.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74058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ahhrf3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4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*Tela real do OTC Tracker — dados fictícios.*</w:t>
      </w:r>
    </w:p>
    <w:p>
      <w:pPr>
        <w:pStyle w:val="Heading2"/>
      </w:pPr>
      <w:r>
        <w:rPr>
          <w:color w:val="0066CC"/>
          <w:sz w:val="30"/>
        </w:rPr>
        <w:t>5. Referência de Módulos (na ordem do sidebar)</w:t>
      </w:r>
    </w:p>
    <w:p>
      <w:pPr>
        <w:ind w:left="360"/>
        <w:shd w:val="clear" w:fill="EAF2FB"/>
      </w:pPr>
      <w:r>
        <w:rPr>
          <w:b/>
          <w:color w:val="1A3A5A"/>
        </w:rPr>
        <w:t>Exportar dados vale para todas as telas com tabela.</w:t>
      </w:r>
      <w:r>
        <w:rPr>
          <w:color w:val="1A3A5A"/>
        </w:rPr>
        <w:t xml:space="preserve"> O botão </w:t>
      </w:r>
      <w:r>
        <w:rPr>
          <w:b/>
          <w:color w:val="1A3A5A"/>
        </w:rPr>
        <w:t>Export</w:t>
      </w:r>
      <w:r>
        <w:rPr>
          <w:color w:val="1A3A5A"/>
        </w:rPr>
        <w:t xml:space="preserve"> entrega</w:t>
      </w:r>
    </w:p>
    <w:p>
      <w:pPr>
        <w:ind w:left="360"/>
        <w:shd w:val="clear" w:fill="EAF2FB"/>
      </w:pPr>
      <w:r>
        <w:rPr>
          <w:b/>
          <w:color w:val="1A3A5A"/>
        </w:rPr>
        <w:t>Copy · CSV · Excel · Print · PDF</w:t>
      </w:r>
      <w:r>
        <w:rPr>
          <w:color w:val="1A3A5A"/>
        </w:rPr>
        <w:t xml:space="preserve"> do que está na tela — filtros e ordenação aplicados, colunas</w:t>
      </w:r>
    </w:p>
    <w:p>
      <w:pPr>
        <w:ind w:left="360"/>
        <w:shd w:val="clear" w:fill="EAF2FB"/>
      </w:pPr>
      <w:r>
        <w:rPr>
          <w:color w:val="1A3A5A"/>
        </w:rPr>
        <w:t xml:space="preserve">visíveis. O item </w:t>
      </w:r>
      <w:r>
        <w:rPr>
          <w:b/>
          <w:color w:val="1A3A5A"/>
        </w:rPr>
        <w:t>Advanced Export</w:t>
      </w:r>
      <w:r>
        <w:rPr>
          <w:color w:val="1A3A5A"/>
        </w:rPr>
        <w:t>, no fim do mesmo menu, abre a extração customizável: formato,</w:t>
      </w:r>
    </w:p>
    <w:p>
      <w:pPr>
        <w:ind w:left="360"/>
        <w:shd w:val="clear" w:fill="EAF2FB"/>
      </w:pPr>
      <w:r>
        <w:rPr>
          <w:color w:val="1A3A5A"/>
        </w:rPr>
        <w:t xml:space="preserve">nome do arquivo, escopo, filtros por coluna, escolha de colunas e o </w:t>
      </w:r>
      <w:r>
        <w:rPr>
          <w:b/>
          <w:color w:val="1A3A5A"/>
        </w:rPr>
        <w:t>intervalo de dias</w:t>
      </w:r>
      <w:r>
        <w:rPr>
          <w:color w:val="1A3A5A"/>
        </w:rPr>
        <w:t>, que lê</w:t>
      </w:r>
    </w:p>
    <w:p>
      <w:pPr>
        <w:ind w:left="360"/>
        <w:shd w:val="clear" w:fill="EAF2FB"/>
      </w:pPr>
      <w:r>
        <w:rPr>
          <w:color w:val="1A3A5A"/>
        </w:rPr>
        <w:t xml:space="preserve">um arquivo por dia útil e junta tudo numa planilha só, com a </w:t>
      </w:r>
      <w:r>
        <w:rPr>
          <w:b/>
          <w:color w:val="1A3A5A"/>
        </w:rPr>
        <w:t>Reference Date</w:t>
      </w:r>
      <w:r>
        <w:rPr>
          <w:color w:val="1A3A5A"/>
        </w:rPr>
        <w:t xml:space="preserve"> por linha. Dia sem</w:t>
      </w:r>
    </w:p>
    <w:p>
      <w:pPr>
        <w:ind w:left="360"/>
        <w:shd w:val="clear" w:fill="EAF2FB"/>
      </w:pPr>
      <w:r>
        <w:rPr>
          <w:color w:val="1A3A5A"/>
        </w:rPr>
        <w:t>arquivo é pulado. A tela que não tem arquivo diário (cadastros como o Reference Data) mostra o</w:t>
      </w:r>
    </w:p>
    <w:p>
      <w:pPr>
        <w:ind w:left="360"/>
        <w:shd w:val="clear" w:fill="EAF2FB"/>
      </w:pPr>
      <w:r>
        <w:rPr>
          <w:color w:val="1A3A5A"/>
        </w:rPr>
        <w:t>intervalo desabilitado, com o motivo escrito. O arquivo sai sempre com o nome</w:t>
      </w:r>
    </w:p>
    <w:p>
      <w:pPr>
        <w:ind w:left="360"/>
        <w:shd w:val="clear" w:fill="EAF2FB"/>
      </w:pPr>
      <w:r>
        <w:rPr>
          <w:rFonts w:ascii="Consolas" w:hAnsi="Consolas"/>
          <w:color w:val="1A3A5A"/>
        </w:rPr>
        <w:t>&lt;Tela ou tabela&gt; - OTC Tracker - OTC Processing System</w:t>
      </w:r>
      <w:r>
        <w:rPr>
          <w:color w:val="1A3A5A"/>
        </w:rPr>
        <w:t xml:space="preserve"> (no Mapping, o cadastro aberto), sem</w:t>
      </w:r>
    </w:p>
    <w:p>
      <w:pPr>
        <w:ind w:left="360"/>
        <w:shd w:val="clear" w:fill="EAF2FB"/>
      </w:pPr>
      <w:r>
        <w:rPr>
          <w:color w:val="1A3A5A"/>
        </w:rPr>
        <w:t>data, e o mesmo texto é o título dentro do Excel, do PDF e da impressão.</w:t>
      </w:r>
    </w:p>
    <w:p>
      <w:pPr>
        <w:pStyle w:val="Heading3"/>
      </w:pPr>
      <w:r>
        <w:rPr>
          <w:sz w:val="25"/>
        </w:rPr>
        <w:t>Navegação (Main)</w:t>
      </w:r>
    </w:p>
    <w:p>
      <w:pPr>
        <w:pStyle w:val="Heading4"/>
      </w:pPr>
      <w:r>
        <w:rPr>
          <w:color w:val="555555"/>
          <w:sz w:val="22"/>
        </w:rPr>
        <w:t>Dashboard</w:t>
      </w:r>
    </w:p>
    <w:p>
      <w:r>
        <w:t xml:space="preserve">Tela inicial do operador. Consolida os KPIs do dia — número de deals de NDF, Opções, Swap, </w:t>
      </w:r>
      <w:r>
        <w:rPr>
          <w:b/>
        </w:rPr>
        <w:t>Recompras (Unwinds)</w:t>
      </w:r>
      <w:r>
        <w:t xml:space="preserve"> e Total, sendo que os quatro primeiros somam o Total — além da distribuição por produto, do fluxo mensal de negócios, dos rankings Top 5 (clientes, produtos e ativos subjacentes), da posição viva por produto e do Settlement Forecast. É somente leitura e serve como ponto de partida diário.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387259" cy="82309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edv4m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7259" cy="823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Sobre o Sistema</w:t>
      </w:r>
    </w:p>
    <w:p>
      <w:r>
        <w:t>Página institucional com a identificação do sistema OTC Tracker e informações gerais de versão e propósito.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64369" cy="8229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8eodaf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4369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sz w:val="25"/>
        </w:rPr>
        <w:t>Aplicações — Daily Settlement (Apps)</w:t>
      </w:r>
    </w:p>
    <w:p>
      <w:pPr>
        <w:pStyle w:val="Heading4"/>
      </w:pPr>
      <w:r>
        <w:rPr>
          <w:color w:val="555555"/>
          <w:sz w:val="22"/>
        </w:rPr>
        <w:t>Calendário de Feriados</w:t>
      </w:r>
    </w:p>
    <w:p>
      <w:r>
        <w:t>Calendário de feriados (base ANBIMA / câmara) que alimenta o cálculo de dias úteis. É a referência que o sistema usa para resolver automaticamente a Data Base (dia útil anterior) e para projetar liquidações. Cada calendário tem a sua cor na visão do mês.</w:t>
      </w:r>
    </w:p>
    <w:p>
      <w:r>
        <w:t xml:space="preserve">Feriado avulso entra pelo clique na data (ou pelo botão *Create New Holiday*), e o calendário da barra lateral também pode ser arrastado direto para o dia. </w:t>
      </w:r>
      <w:r>
        <w:rPr>
          <w:b/>
        </w:rPr>
        <w:t>Calendário inteiro entra por planilha</w:t>
      </w:r>
      <w:r>
        <w:t xml:space="preserve">, pelo botão *Create New Calendar*: nome + </w:t>
      </w:r>
      <w:r>
        <w:rPr>
          <w:rFonts w:ascii="Consolas" w:hAnsi="Consolas"/>
          <w:color w:val="B03060"/>
        </w:rPr>
        <w:t>.xlsx</w:t>
      </w:r>
      <w:r>
        <w:t xml:space="preserve"> de </w:t>
      </w:r>
      <w:r>
        <w:rPr>
          <w:b/>
        </w:rPr>
        <w:t>uma aba</w:t>
      </w:r>
      <w:r>
        <w:t xml:space="preserve">, com a data em </w:t>
      </w:r>
      <w:r>
        <w:rPr>
          <w:rFonts w:ascii="Consolas" w:hAnsi="Consolas"/>
          <w:color w:val="B03060"/>
        </w:rPr>
        <w:t>aaaa-mm-dd</w:t>
      </w:r>
      <w:r>
        <w:t xml:space="preserve"> na </w:t>
      </w:r>
      <w:r>
        <w:rPr>
          <w:b/>
        </w:rPr>
        <w:t>coluna A</w:t>
      </w:r>
      <w:r>
        <w:t xml:space="preserve"> e a descrição na </w:t>
      </w:r>
      <w:r>
        <w:rPr>
          <w:b/>
        </w:rPr>
        <w:t>coluna B</w:t>
      </w:r>
      <w:r>
        <w:t xml:space="preserve"> (a terceira coluna, *Holiday Type*, não é importada). A linha de cabeçalho, a linha em branco do fim e um eventual rodapé de total são descartados por não serem data; datas repetidas entram uma vez só. A cor do calendário novo é sorteada entre as que ainda não estão em uso, e a partir daí ele é um calendário como os outros — inclusive como *holiday schedule* nas telas que pedem um.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8106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m8qqq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10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File Interpreter (Interpretador de Arquivos)</w:t>
      </w:r>
    </w:p>
    <w:p>
      <w:r>
        <w:t xml:space="preserve">Catálogo dos layouts dos arquivos que o sistema monta — os de registro na B3 (Termo, Opção, Swap, MID, DCE) e os de instrução da Intrag —, campo a campo: ordem, largura e a ORIGEM de cada valor (fixo, coluna da tela, cadastro do Mapping ou cálculo). É cadastro, não consulta: mudar um valor fixo, cadastrar um cálculo (dias úteis entre duas datas, de-para em linha) ou criar uma </w:t>
      </w:r>
      <w:r>
        <w:rPr>
          <w:b/>
        </w:rPr>
        <w:t>versão</w:t>
      </w:r>
      <w:r>
        <w:t xml:space="preserve"> do layout — por par de entidades ou por produto — vale no próximo arquivo gerado e no próximo preview, sem release. O preview das telas de New Deals lê daqui.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68066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l0erje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806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Painel de Controle</w:t>
      </w:r>
    </w:p>
    <w:p>
      <w:r>
        <w:t xml:space="preserve">Hub das rotinas operacionais diárias, dividido em </w:t>
      </w:r>
      <w:r>
        <w:rPr>
          <w:b/>
        </w:rPr>
        <w:t>cinco seções</w:t>
      </w:r>
      <w:r>
        <w:t xml:space="preserve"> — e o que agrupa não é o que a rotina faz e sim *quando* ela acontece e sobre o que responde: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Seção</w:t>
            </w:r>
          </w:p>
        </w:tc>
        <w:tc>
          <w:tcPr>
            <w:tcW w:type="dxa" w:w="4968"/>
            <w:shd w:val="clear" w:fill="0066CC"/>
          </w:tcPr>
          <w:p>
            <w:r>
              <w:rPr>
                <w:b/>
                <w:color w:val="FFFFFF"/>
              </w:rPr>
              <w:t>Rotinas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Intraday Routines</w:t>
            </w:r>
          </w:p>
        </w:tc>
        <w:tc>
          <w:tcPr>
            <w:tcW w:type="dxa" w:w="4968"/>
          </w:tcPr>
          <w:p>
            <w:r>
              <w:t xml:space="preserve">Save CETIP Files (pega os arquivos brutos da B3 na pasta </w:t>
            </w:r>
            <w:r>
              <w:rPr>
                <w:rFonts w:ascii="Consolas" w:hAnsi="Consolas"/>
                <w:color w:val="B03060"/>
              </w:rPr>
              <w:t>Batch Conecta › Return</w:t>
            </w:r>
            <w:r>
              <w:t xml:space="preserve"> — compactados, no nome </w:t>
            </w:r>
            <w:r>
              <w:rPr>
                <w:rFonts w:ascii="Consolas" w:hAnsi="Consolas"/>
                <w:color w:val="B03060"/>
              </w:rPr>
              <w:t>73760_&lt;sistema&gt;_&lt;data&gt;_SP_&lt;arquivo&gt;</w:t>
            </w:r>
            <w:r>
              <w:t xml:space="preserve"> —, guarda os originais na pasta de origem do dia, renomeia no padrão e salva nas pastas de liquidação, e tira da Return os que trouxe; o </w:t>
            </w:r>
            <w:r>
              <w:rPr>
                <w:rFonts w:ascii="Consolas" w:hAnsi="Consolas"/>
                <w:color w:val="B03060"/>
              </w:rPr>
              <w:t>INDEXADORESSWAP_VCP</w:t>
            </w:r>
            <w:r>
              <w:t xml:space="preserve"> e o </w:t>
            </w:r>
            <w:r>
              <w:rPr>
                <w:rFonts w:ascii="Consolas" w:hAnsi="Consolas"/>
                <w:color w:val="B03060"/>
              </w:rPr>
              <w:t>CADASTROCURVASMOEDASFEEDERDOMINIOS</w:t>
            </w:r>
            <w:r>
              <w:t xml:space="preserve"> também atualizam as bases de indexadores e de domínios, e o de domínios vai anexo no e-mail) · Intraday Monitor — Tasks &amp; Pending Action · Confirmations Escalation (Save CETIP Files e Confirmations Escalation também são tarefas do Intraday Monitor) · Initiatives — Alerts (todo dia útil às 08:00: o e-mail e o aviso no sino da iniciativa em andamento parada há mais de 5 dias úteis, com prazo — dela ou de uma tarefa — a 2 dias úteis, ou que termina no dia)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Settlement Reporting</w:t>
            </w:r>
          </w:p>
        </w:tc>
        <w:tc>
          <w:tcPr>
            <w:tcW w:type="dxa" w:w="4968"/>
          </w:tcPr>
          <w:p>
            <w:r>
              <w:t>Save Daily Settlement Files (dropzone que processa todos os arquivos do dia em JSON; o arquivo de Operações da B3 vira JPM ou MGT pelo *Participante* da célula A3, sem renomear) · Settlement Forecast (projeta as liquidações dos próximos dias úteis e envia por e-mail)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Pending Confirmation Routines</w:t>
            </w:r>
          </w:p>
        </w:tc>
        <w:tc>
          <w:tcPr>
            <w:tcW w:type="dxa" w:w="4968"/>
          </w:tcPr>
          <w:p>
            <w:r>
              <w:t>Daily Metric — Outstanding Confirmation Brazil OTC · Pending Confirmations Spreadsheet Metrics · Pending Confirmation — Weekly Escalation (CEM/EDG; o CEM inclui a LOB COMMODITY) · Pending Signature Confirmations — Collection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Economic Affirmation Routines</w:t>
            </w:r>
          </w:p>
        </w:tc>
        <w:tc>
          <w:tcPr>
            <w:tcW w:type="dxa" w:w="4968"/>
          </w:tcPr>
          <w:p>
            <w:r>
              <w:t>Manual Deals EA · BACC EA Metrics · MT300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Reference Data Routines</w:t>
            </w:r>
          </w:p>
        </w:tc>
        <w:tc>
          <w:tcPr>
            <w:tcW w:type="dxa" w:w="4968"/>
          </w:tcPr>
          <w:p>
            <w:r>
              <w:t>Update Contacts</w:t>
            </w:r>
          </w:p>
        </w:tc>
      </w:tr>
    </w:tbl>
    <w:p/>
    <w:p>
      <w:r>
        <w:t xml:space="preserve">Em cada cartão o operador define a Reference date (Data Base), as listas de </w:t>
      </w:r>
      <w:r>
        <w:rPr>
          <w:b/>
        </w:rPr>
        <w:t>To</w:t>
      </w:r>
      <w:r>
        <w:t>/</w:t>
      </w:r>
      <w:r>
        <w:rPr>
          <w:b/>
        </w:rPr>
        <w:t>Cc</w:t>
      </w:r>
      <w:r>
        <w:t xml:space="preserve">, e pode disparar a rotina na hora pelo </w:t>
      </w:r>
      <w:r>
        <w:rPr>
          <w:b/>
        </w:rPr>
        <w:t>Run</w:t>
      </w:r>
      <w:r>
        <w:t xml:space="preserve">. O acesso é concedido </w:t>
      </w:r>
      <w:r>
        <w:rPr>
          <w:b/>
        </w:rPr>
        <w:t>por cartão</w:t>
      </w:r>
      <w:r>
        <w:t xml:space="preserve"> (tokens </w:t>
      </w:r>
      <w:r>
        <w:rPr>
          <w:rFonts w:ascii="Consolas" w:hAnsi="Consolas"/>
          <w:color w:val="B03060"/>
        </w:rPr>
        <w:t>/control-panel#&lt;id&gt;</w:t>
      </w:r>
      <w:r>
        <w:t xml:space="preserve"> no *Page Access*): quem não tem um cartão não o vê, e o cabeçalho da seção só aparece se houver ao menos um cartão visível nela.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64369" cy="8229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cfwkdm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4369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Tools — Calculators, Quotes e as curvas</w:t>
      </w:r>
    </w:p>
    <w:p>
      <w:r>
        <w:t xml:space="preserve">Ferramentas de conferência, fora do fluxo do dia. </w:t>
      </w:r>
      <w:r>
        <w:rPr>
          <w:b/>
        </w:rPr>
        <w:t>Calculators</w:t>
      </w:r>
      <w:r>
        <w:t xml:space="preserve"> reúne quatro</w:t>
      </w:r>
    </w:p>
    <w:p>
      <w:r>
        <w:t xml:space="preserve">calculadoras — </w:t>
      </w:r>
      <w:r>
        <w:rPr>
          <w:b/>
        </w:rPr>
        <w:t>NDF</w:t>
      </w:r>
      <w:r>
        <w:t xml:space="preserve">, </w:t>
      </w:r>
      <w:r>
        <w:rPr>
          <w:b/>
        </w:rPr>
        <w:t>Option</w:t>
      </w:r>
      <w:r>
        <w:t xml:space="preserve">, </w:t>
      </w:r>
      <w:r>
        <w:rPr>
          <w:b/>
        </w:rPr>
        <w:t>Swap</w:t>
      </w:r>
      <w:r>
        <w:t xml:space="preserve"> e </w:t>
      </w:r>
      <w:r>
        <w:rPr>
          <w:b/>
        </w:rPr>
        <w:t>Unwind NDF</w:t>
      </w:r>
      <w:r>
        <w:t xml:space="preserve"> —, todas com o</w:t>
      </w:r>
    </w:p>
    <w:p>
      <w:r>
        <w:t xml:space="preserve">mesmo uso: digitar o </w:t>
      </w:r>
      <w:r>
        <w:rPr>
          <w:b/>
        </w:rPr>
        <w:t>B3 ID</w:t>
      </w:r>
      <w:r>
        <w:t>, deixar a posição do último dia útil preencher a</w:t>
      </w:r>
    </w:p>
    <w:p>
      <w:r>
        <w:t>tela, completar o que ficou em vermelho (o que a posição não trouxe fica em</w:t>
      </w:r>
    </w:p>
    <w:p>
      <w:r>
        <w:t xml:space="preserve">branco, nunca um palpite) e clicar em </w:t>
      </w:r>
      <w:r>
        <w:rPr>
          <w:b/>
        </w:rPr>
        <w:t>Calculate</w:t>
      </w:r>
      <w:r>
        <w:t>. O resultado é sempre o do</w:t>
      </w:r>
    </w:p>
    <w:p>
      <w:r>
        <w:t>banco (</w:t>
      </w:r>
      <w:r>
        <w:rPr>
          <w:rFonts w:ascii="Consolas" w:hAnsi="Consolas"/>
          <w:color w:val="B03060"/>
        </w:rPr>
        <w:t>RECEIVE</w:t>
      </w:r>
      <w:r>
        <w:t>/</w:t>
      </w:r>
      <w:r>
        <w:rPr>
          <w:rFonts w:ascii="Consolas" w:hAnsi="Consolas"/>
          <w:color w:val="B03060"/>
        </w:rPr>
        <w:t>PAY</w:t>
      </w:r>
      <w:r>
        <w:t xml:space="preserve">), com a conta aberta em parcelas, e </w:t>
      </w:r>
      <w:r>
        <w:rPr>
          <w:b/>
        </w:rPr>
        <w:t>Export</w:t>
      </w:r>
      <w:r>
        <w:t xml:space="preserve"> baixa a</w:t>
      </w:r>
    </w:p>
    <w:p>
      <w:r>
        <w:t>memória de cálculo em Excel, com as fórmulas (`Memória de Cálculo &lt;produto&gt; - B3</w:t>
      </w:r>
    </w:p>
    <w:p>
      <w:r>
        <w:t>ID - contraparte - data.xlsx`).</w:t>
      </w:r>
    </w:p>
    <w:p>
      <w:r>
        <w:t xml:space="preserve">Pontos de atenção: o fixing e a paridade em branco buscam a </w:t>
      </w:r>
      <w:r>
        <w:rPr>
          <w:b/>
        </w:rPr>
        <w:t>PTAX de venda</w:t>
      </w:r>
      <w:r>
        <w:t xml:space="preserve"> do</w:t>
      </w:r>
    </w:p>
    <w:p>
      <w:r>
        <w:t>BCB e a taxa usada volta para o próprio campo, com a data; os preços de</w:t>
      </w:r>
    </w:p>
    <w:p>
      <w:r>
        <w:t xml:space="preserve">verificação da opção e do termo de mercadoria vêm do </w:t>
      </w:r>
      <w:r>
        <w:rPr>
          <w:b/>
        </w:rPr>
        <w:t>Quotes</w:t>
      </w:r>
      <w:r>
        <w:t>, multiplicados</w:t>
      </w:r>
    </w:p>
    <w:p>
      <w:r>
        <w:t xml:space="preserve">por 0,01 quando o </w:t>
      </w:r>
      <w:r>
        <w:rPr>
          <w:b/>
        </w:rPr>
        <w:t>Index B3</w:t>
      </w:r>
      <w:r>
        <w:t xml:space="preserve"> indica que o ativo é cotado em centavos; e a data</w:t>
      </w:r>
    </w:p>
    <w:p>
      <w:r>
        <w:t xml:space="preserve">do fixing do </w:t>
      </w:r>
      <w:r>
        <w:rPr>
          <w:b/>
        </w:rPr>
        <w:t>Term SOFR</w:t>
      </w:r>
      <w:r>
        <w:t xml:space="preserve"> conta no calendário </w:t>
      </w:r>
      <w:r>
        <w:rPr>
          <w:b/>
        </w:rPr>
        <w:t>SOFR</w:t>
      </w:r>
      <w:r>
        <w:t xml:space="preserve"> do Holidays Calendar (a</w:t>
      </w:r>
    </w:p>
    <w:p>
      <w:r>
        <w:t>da EURIBOR, no TARGET2), não no ANBIMA.</w:t>
      </w:r>
    </w:p>
    <w:p>
      <w:r>
        <w:rPr>
          <w:b/>
        </w:rPr>
        <w:t>Quotes</w:t>
      </w:r>
      <w:r>
        <w:t xml:space="preserve"> consulta a série histórica de PTAX, ações e mercadorias — os campos</w:t>
      </w:r>
    </w:p>
    <w:p>
      <w:r>
        <w:t xml:space="preserve">de período aceitam digitação direta da data. </w:t>
      </w:r>
      <w:r>
        <w:rPr>
          <w:b/>
        </w:rPr>
        <w:t>Fixed Income</w:t>
      </w:r>
      <w:r>
        <w:t xml:space="preserve">, </w:t>
      </w:r>
      <w:r>
        <w:rPr>
          <w:b/>
        </w:rPr>
        <w:t>SOFR Index</w:t>
      </w:r>
      <w:r>
        <w:t>,</w:t>
      </w:r>
    </w:p>
    <w:p>
      <w:r>
        <w:rPr>
          <w:b/>
        </w:rPr>
        <w:t>Term SOFR</w:t>
      </w:r>
      <w:r>
        <w:t xml:space="preserve"> e </w:t>
      </w:r>
      <w:r>
        <w:rPr>
          <w:b/>
        </w:rPr>
        <w:t>Euribor</w:t>
      </w:r>
      <w:r>
        <w:t xml:space="preserve"> completam o menu.</w:t>
      </w:r>
    </w:p>
    <w:p>
      <w:pPr>
        <w:pStyle w:val="Heading4"/>
      </w:pPr>
      <w:r>
        <w:rPr>
          <w:color w:val="555555"/>
          <w:sz w:val="22"/>
        </w:rPr>
        <w:t>NDF — Summary</w:t>
      </w:r>
    </w:p>
    <w:p>
      <w:r>
        <w:t xml:space="preserve">Batch de liquidação de NDF do dia. Os cards Vanilla / Other Publisher / T+0 / Total classificam a posição. As grades editáveis "Settlement Summary" e "Trade Level" permitem adicionar, editar, remover e confirmar linhas antes de gerar o batch. No </w:t>
      </w:r>
      <w:r>
        <w:rPr>
          <w:b/>
        </w:rPr>
        <w:t>Trade Level</w:t>
      </w:r>
      <w:r>
        <w:t xml:space="preserve">, a coluna </w:t>
      </w:r>
      <w:r>
        <w:rPr>
          <w:b/>
        </w:rPr>
        <w:t>Settlement Type</w:t>
      </w:r>
      <w:r>
        <w:t xml:space="preserve"> (à direita da contraparte) diz que liquidação é aquela — </w:t>
      </w:r>
      <w:r>
        <w:rPr>
          <w:rFonts w:ascii="Consolas" w:hAnsi="Consolas"/>
          <w:color w:val="B03060"/>
        </w:rPr>
        <w:t>MATURITY</w:t>
      </w:r>
      <w:r>
        <w:t xml:space="preserve">, </w:t>
      </w:r>
      <w:r>
        <w:rPr>
          <w:rFonts w:ascii="Consolas" w:hAnsi="Consolas"/>
          <w:color w:val="B03060"/>
        </w:rPr>
        <w:t>PREMIUM</w:t>
      </w:r>
      <w:r>
        <w:t xml:space="preserve"> ou </w:t>
      </w:r>
      <w:r>
        <w:rPr>
          <w:rFonts w:ascii="Consolas" w:hAnsi="Consolas"/>
          <w:color w:val="B03060"/>
        </w:rPr>
        <w:t>UNWIND</w:t>
      </w:r>
      <w:r>
        <w:t xml:space="preserve"> (a recompra) —, inclusive nas linhas em *Check*. Cada grade tem o seu </w:t>
      </w:r>
      <w:r>
        <w:rPr>
          <w:b/>
        </w:rPr>
        <w:t>Clear Filters</w:t>
      </w:r>
      <w:r>
        <w:t xml:space="preserve">, que limpa os funis só dela. O botão </w:t>
      </w:r>
      <w:r>
        <w:rPr>
          <w:b/>
        </w:rPr>
        <w:t>Import settlement</w:t>
      </w:r>
      <w:r>
        <w:t xml:space="preserve">, ao lado da data, traz as liquidações do dia da Athena sem sair da tela (o mesmo import do NDF Cockpit). O IR (0,005%) segue o </w:t>
      </w:r>
      <w:r>
        <w:rPr>
          <w:b/>
        </w:rPr>
        <w:t>piso de R$ 1,00 do mês</w:t>
      </w:r>
      <w:r>
        <w:t xml:space="preserve"> por contraparte: abaixo dele não se retém e acumula; ao alcançá-lo, retém-se a soma — e, </w:t>
      </w:r>
      <w:r>
        <w:rPr>
          <w:b/>
        </w:rPr>
        <w:t>alcançado o piso, toda liquidação seguinte da contraparte no mês retém</w:t>
      </w:r>
      <w:r>
        <w:t>, mesmo centavos.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1426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yky80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4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NDF — Cockpit</w:t>
      </w:r>
    </w:p>
    <w:p>
      <w:r>
        <w:t>Cockpit operacional do NDF. Importa o arquivo do dia e permite adicionar, editar, remover e confirmar linhas da posição, consolidando o registro antes do envio.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1943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lkpwq0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9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Other Products — Summary</w:t>
      </w:r>
    </w:p>
    <w:p>
      <w:r>
        <w:t xml:space="preserve">Resumo consolidado dos demais produtos (COE, NDF, Option, Swap) com widgets de total, vencimentos (maturity), prêmio e fluxo por produto. No </w:t>
      </w:r>
      <w:r>
        <w:rPr>
          <w:b/>
        </w:rPr>
        <w:t>Trade Level</w:t>
      </w:r>
      <w:r>
        <w:t xml:space="preserve">, a coluna </w:t>
      </w:r>
      <w:r>
        <w:rPr>
          <w:b/>
        </w:rPr>
        <w:t>Settlement Type</w:t>
      </w:r>
      <w:r>
        <w:t xml:space="preserve"> diz que liquidação é aquela — swap: </w:t>
      </w:r>
      <w:r>
        <w:rPr>
          <w:rFonts w:ascii="Consolas" w:hAnsi="Consolas"/>
          <w:color w:val="B03060"/>
        </w:rPr>
        <w:t>CASHFLOW</w:t>
      </w:r>
      <w:r>
        <w:t xml:space="preserve">, </w:t>
      </w:r>
      <w:r>
        <w:rPr>
          <w:rFonts w:ascii="Consolas" w:hAnsi="Consolas"/>
          <w:color w:val="B03060"/>
        </w:rPr>
        <w:t>MATURITY</w:t>
      </w:r>
      <w:r>
        <w:t xml:space="preserve">, </w:t>
      </w:r>
      <w:r>
        <w:rPr>
          <w:rFonts w:ascii="Consolas" w:hAnsi="Consolas"/>
          <w:color w:val="B03060"/>
        </w:rPr>
        <w:t>PREMIUM</w:t>
      </w:r>
      <w:r>
        <w:t xml:space="preserve">, </w:t>
      </w:r>
      <w:r>
        <w:rPr>
          <w:rFonts w:ascii="Consolas" w:hAnsi="Consolas"/>
          <w:color w:val="B03060"/>
        </w:rPr>
        <w:t>UNWIND</w:t>
      </w:r>
      <w:r>
        <w:t xml:space="preserve">; opção: </w:t>
      </w:r>
      <w:r>
        <w:rPr>
          <w:rFonts w:ascii="Consolas" w:hAnsi="Consolas"/>
          <w:color w:val="B03060"/>
        </w:rPr>
        <w:t>PREMIUM</w:t>
      </w:r>
      <w:r>
        <w:t xml:space="preserve">, </w:t>
      </w:r>
      <w:r>
        <w:rPr>
          <w:rFonts w:ascii="Consolas" w:hAnsi="Consolas"/>
          <w:color w:val="B03060"/>
        </w:rPr>
        <w:t>EXERCISE</w:t>
      </w:r>
      <w:r>
        <w:t xml:space="preserve">, </w:t>
      </w:r>
      <w:r>
        <w:rPr>
          <w:rFonts w:ascii="Consolas" w:hAnsi="Consolas"/>
          <w:color w:val="B03060"/>
        </w:rPr>
        <w:t>UNWIND</w:t>
      </w:r>
      <w:r>
        <w:t xml:space="preserve">; termo: </w:t>
      </w:r>
      <w:r>
        <w:rPr>
          <w:rFonts w:ascii="Consolas" w:hAnsi="Consolas"/>
          <w:color w:val="B03060"/>
        </w:rPr>
        <w:t>PREMIUM</w:t>
      </w:r>
      <w:r>
        <w:t xml:space="preserve">, </w:t>
      </w:r>
      <w:r>
        <w:rPr>
          <w:rFonts w:ascii="Consolas" w:hAnsi="Consolas"/>
          <w:color w:val="B03060"/>
        </w:rPr>
        <w:t>MATURITY</w:t>
      </w:r>
      <w:r>
        <w:t xml:space="preserve">, </w:t>
      </w:r>
      <w:r>
        <w:rPr>
          <w:rFonts w:ascii="Consolas" w:hAnsi="Consolas"/>
          <w:color w:val="B03060"/>
        </w:rPr>
        <w:t>UNWIND</w:t>
      </w:r>
      <w:r>
        <w:t xml:space="preserve"> —, decidida pela posição (o contrato vence hoje, o prêmio liquida hoje, há fluxo hoje). Célula vazia pede o cadastro do evento em </w:t>
      </w:r>
      <w:r>
        <w:rPr>
          <w:b/>
        </w:rPr>
        <w:t>Mapping › `opb3-events`</w:t>
      </w:r>
      <w:r>
        <w:t xml:space="preserve">, coluna *Settlement Type*. Cada grade tem o seu </w:t>
      </w:r>
      <w:r>
        <w:rPr>
          <w:b/>
        </w:rPr>
        <w:t>Clear Filters</w:t>
      </w:r>
      <w:r>
        <w:t>, que limpa os funis só dela.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56341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8qek7z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634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OTM Settlements</w:t>
      </w:r>
    </w:p>
    <w:p>
      <w:r>
        <w:t>Liquidações OTM (cashflows). Importa o arquivo de liquidação e permite adicionar, editar, remover e confirmar cada linha antes do fechamento.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1943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ylfk1s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94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Cognos (FXO Detail)</w:t>
      </w:r>
    </w:p>
    <w:p>
      <w:r>
        <w:t>Visão de detalhe das operações de Opção FX (FXO), com as datas e parâmetros do contrato (strike, vencimento, prêmio) para conferência.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2978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9unyze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97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Live Position — NDF</w:t>
      </w:r>
    </w:p>
    <w:p>
      <w:r>
        <w:t>Posição viva de NDF (somente leitura), com os widgets Vanilla / Other Publisher / T+0 / Commodities / Total e a tabela dos contratos em custódia na Data Base. Descarta o filtro de vencimento — conta a posição viva.</w:t>
      </w:r>
    </w:p>
    <w:p>
      <w:pPr>
        <w:ind w:left="360"/>
        <w:shd w:val="clear" w:fill="EAF2FB"/>
      </w:pPr>
      <w:r>
        <w:rPr>
          <w:color w:val="1A3A5A"/>
        </w:rPr>
        <w:t xml:space="preserve">A coluna de </w:t>
      </w:r>
      <w:r>
        <w:rPr>
          <w:b/>
          <w:color w:val="1A3A5A"/>
        </w:rPr>
        <w:t>CPF/CNPJ da contraparte</w:t>
      </w:r>
      <w:r>
        <w:rPr>
          <w:color w:val="1A3A5A"/>
        </w:rPr>
        <w:t xml:space="preserve"> mostra o </w:t>
      </w:r>
      <w:r>
        <w:rPr>
          <w:b/>
          <w:color w:val="1A3A5A"/>
        </w:rPr>
        <w:t>nome</w:t>
      </w:r>
      <w:r>
        <w:rPr>
          <w:color w:val="1A3A5A"/>
        </w:rPr>
        <w:t xml:space="preserve"> dela, resolvido no Reference Data pelo documento. A célula só volta com o número quando aquele CPF/CNPJ </w:t>
      </w:r>
      <w:r>
        <w:rPr>
          <w:b/>
          <w:color w:val="1A3A5A"/>
        </w:rPr>
        <w:t>não está cadastrado</w:t>
      </w:r>
      <w:r>
        <w:rPr>
          <w:color w:val="1A3A5A"/>
        </w:rPr>
        <w:t xml:space="preserve"> — o número fica de propósito, porque apagá-lo esconderia a contraparte que falta cadastrar. A coluna da Parte continua com o documento: ela é a nossa perna, e o nome está na coluna ao lado.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34091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a6qh9f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4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Live Position — Swap (Características)</w:t>
      </w:r>
    </w:p>
    <w:p>
      <w:r>
        <w:t>Posição viva de Swap com as características de cada contrato em custódia na Data Base.</w:t>
      </w:r>
    </w:p>
    <w:p>
      <w:pPr>
        <w:ind w:left="360"/>
        <w:shd w:val="clear" w:fill="EAF2FB"/>
      </w:pPr>
      <w:r>
        <w:rPr>
          <w:color w:val="1A3A5A"/>
        </w:rPr>
        <w:t xml:space="preserve">A coluna de </w:t>
      </w:r>
      <w:r>
        <w:rPr>
          <w:b/>
          <w:color w:val="1A3A5A"/>
        </w:rPr>
        <w:t>CPF/CNPJ da contraparte</w:t>
      </w:r>
      <w:r>
        <w:rPr>
          <w:color w:val="1A3A5A"/>
        </w:rPr>
        <w:t xml:space="preserve"> mostra o </w:t>
      </w:r>
      <w:r>
        <w:rPr>
          <w:b/>
          <w:color w:val="1A3A5A"/>
        </w:rPr>
        <w:t>nome</w:t>
      </w:r>
      <w:r>
        <w:rPr>
          <w:color w:val="1A3A5A"/>
        </w:rPr>
        <w:t xml:space="preserve"> dela, resolvido no Reference Data pelo documento. A célula só volta com o número quando aquele CPF/CNPJ </w:t>
      </w:r>
      <w:r>
        <w:rPr>
          <w:b/>
          <w:color w:val="1A3A5A"/>
        </w:rPr>
        <w:t>não está cadastrado</w:t>
      </w:r>
      <w:r>
        <w:rPr>
          <w:color w:val="1A3A5A"/>
        </w:rPr>
        <w:t xml:space="preserve"> — o número fica de propósito, porque apagá-lo esconderia a contraparte que falta cadastrar. A coluna da Parte continua com o documento: ela é a nossa perna, e o nome está na coluna ao lado.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3409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cfluoe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4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Live Position — Option</w:t>
      </w:r>
    </w:p>
    <w:p>
      <w:r>
        <w:t>Posição viva das Opções em custódia na Data Base, com strike, barreiras, prêmio e situação do contrato.</w:t>
      </w:r>
    </w:p>
    <w:p>
      <w:pPr>
        <w:ind w:left="360"/>
        <w:shd w:val="clear" w:fill="EAF2FB"/>
      </w:pPr>
      <w:r>
        <w:rPr>
          <w:color w:val="1A3A5A"/>
        </w:rPr>
        <w:t xml:space="preserve">A coluna de </w:t>
      </w:r>
      <w:r>
        <w:rPr>
          <w:b/>
          <w:color w:val="1A3A5A"/>
        </w:rPr>
        <w:t>CPF/CNPJ da contraparte</w:t>
      </w:r>
      <w:r>
        <w:rPr>
          <w:color w:val="1A3A5A"/>
        </w:rPr>
        <w:t xml:space="preserve"> mostra o </w:t>
      </w:r>
      <w:r>
        <w:rPr>
          <w:b/>
          <w:color w:val="1A3A5A"/>
        </w:rPr>
        <w:t>nome</w:t>
      </w:r>
      <w:r>
        <w:rPr>
          <w:color w:val="1A3A5A"/>
        </w:rPr>
        <w:t xml:space="preserve"> dela, resolvido no Reference Data pelo documento. A célula só volta com o número quando aquele CPF/CNPJ </w:t>
      </w:r>
      <w:r>
        <w:rPr>
          <w:b/>
          <w:color w:val="1A3A5A"/>
        </w:rPr>
        <w:t>não está cadastrado</w:t>
      </w:r>
      <w:r>
        <w:rPr>
          <w:color w:val="1A3A5A"/>
        </w:rPr>
        <w:t xml:space="preserve"> — o número fica de propósito, porque apagá-lo esconderia a contraparte que falta cadastrar. A coluna da Parte continua com o documento: ela é a nossa perna, e o nome está na coluna ao lado.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3710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w1y7nf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71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Operations — B3</w:t>
      </w:r>
    </w:p>
    <w:p>
      <w:r>
        <w:t>Operações registradas na B3. Importa o retorno, permite adicionar/editar/remover e confirmar linhas e consolida as métricas de operações do dia.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9789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qy14nw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78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sz w:val="25"/>
        </w:rPr>
        <w:t>Conciliações (Reconciliations)</w:t>
      </w:r>
    </w:p>
    <w:p>
      <w:pPr>
        <w:pStyle w:val="Heading4"/>
      </w:pPr>
      <w:r>
        <w:rPr>
          <w:color w:val="555555"/>
          <w:sz w:val="22"/>
        </w:rPr>
        <w:t>Conciliação — Comitente</w:t>
      </w:r>
    </w:p>
    <w:p>
      <w:r>
        <w:t>Concilia as posições por comitente entre a base interna e o retorno da câmara, sinalizando divergências.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b_svtn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Conciliação — Pay/Rec</w:t>
      </w:r>
    </w:p>
    <w:p>
      <w:r>
        <w:t xml:space="preserve">Concilia os valores a pagar e a receber (Pay/Rec), apontando as diferenças a tratar antes do encerramento. O lado de NDF do banco vem da API da Athena (liquidações da data) somada às recompras de NDF que a API ainda não traz, com o IR calculado — o mesmo dia do NDF Cockpit; a recompra de NDF de Commodities entra como COMM TER; o </w:t>
      </w:r>
      <w:r>
        <w:rPr>
          <w:rFonts w:ascii="Consolas" w:hAnsi="Consolas"/>
          <w:color w:val="B03060"/>
        </w:rPr>
        <w:t>settlement.csv</w:t>
      </w:r>
      <w:r>
        <w:t xml:space="preserve"> da pasta deixou de ser insumo. O SWAP casa até R$ 20,00 (o lado do banco é líquido do IR regressivo). As tabelas Pending Payment, Pending Receivement e Settled têm o funil no cabeçalho, e a linha que casou dentro da tolerância sem bater no centavo traz a marca </w:t>
      </w:r>
      <w:r>
        <w:rPr>
          <w:b/>
        </w:rPr>
        <w:t>Tolerance</w:t>
      </w:r>
      <w:r>
        <w:t xml:space="preserve">, com a diferença ao passar o mouse. A pasta de insumos guarda </w:t>
      </w:r>
      <w:r>
        <w:rPr>
          <w:b/>
        </w:rPr>
        <w:t>um arquivo de cada tipo</w:t>
      </w:r>
      <w:r>
        <w:t xml:space="preserve"> (HistoricoMensagens JPM, HistoricoMensagens MGT, cashflows, RLDOCREC…): o que entra pelo dropzone substitui o do mesmo tipo, e com dois na pasta vale o salvo por último — o mais antigo é apagado.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d46vjj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Conciliação — FXO</w:t>
      </w:r>
    </w:p>
    <w:p>
      <w:r>
        <w:t xml:space="preserve">Concilia a posição de opções de câmbio registrada na CETIP (DPOSICAO) com a base interna (Athena), campo a campo: direção, Put/Call, contraparte, quantidade, prêmio, strike, datas de negociação e vencimento, fixings e estilo (Asian/European). A </w:t>
      </w:r>
      <w:r>
        <w:rPr>
          <w:b/>
        </w:rPr>
        <w:t>Reference date</w:t>
      </w:r>
      <w:r>
        <w:t xml:space="preserve"> abre em D-1 pelo calendário ANBIMA. Os cards contam Total / OK / NOK / Sem match e filtram a tabela, e a faixa de chips indica qual campo está divergindo. A célula em divergência vem destacada.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48ps75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Conciliação — Conf. Matching</w:t>
      </w:r>
    </w:p>
    <w:p>
      <w:r>
        <w:t xml:space="preserve">Confere se a </w:t>
      </w:r>
      <w:r>
        <w:rPr>
          <w:b/>
        </w:rPr>
        <w:t>confirmação das operações de NDF do dia anterior foi gerada no FepWeb</w:t>
      </w:r>
      <w:r>
        <w:t xml:space="preserve">: compara os contratos do relatório </w:t>
      </w:r>
      <w:r>
        <w:rPr>
          <w:b/>
        </w:rPr>
        <w:t>(REPORT) FEPWeb - Operacoes D-4</w:t>
      </w:r>
      <w:r>
        <w:t xml:space="preserve"> (anexo do e-mail em *Inbox › Automatico* da caixa compartilhada, lido direto do e-mail) com as operações da API de NDF da Athena. Resultado por operação: </w:t>
      </w:r>
      <w:r>
        <w:rPr>
          <w:b/>
        </w:rPr>
        <w:t>Missing FepWeb</w:t>
      </w:r>
      <w:r>
        <w:t xml:space="preserve">, </w:t>
      </w:r>
      <w:r>
        <w:rPr>
          <w:b/>
        </w:rPr>
        <w:t>Missing Athena</w:t>
      </w:r>
      <w:r>
        <w:t xml:space="preserve">, </w:t>
      </w:r>
      <w:r>
        <w:rPr>
          <w:b/>
        </w:rPr>
        <w:t>Duplicated</w:t>
      </w:r>
      <w:r>
        <w:t xml:space="preserve"> ou </w:t>
      </w:r>
      <w:r>
        <w:rPr>
          <w:b/>
        </w:rPr>
        <w:t>Ok</w:t>
      </w:r>
      <w:r>
        <w:t xml:space="preserve"> — contraparte com *Signature Type = Internal* é Ok mesmo sem FepWeb, porque a confirmação não é gerada. A tela não trata de assinatura (isso é do Pending Confirmation). O operador roda o batimento pela manhã, trata as quebras e registra o tratamento no campo </w:t>
      </w:r>
      <w:r>
        <w:rPr>
          <w:b/>
        </w:rPr>
        <w:t>Comments</w:t>
      </w:r>
      <w:r>
        <w:t xml:space="preserve"> da linha.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eep29x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sz w:val="25"/>
        </w:rPr>
        <w:t>Documentação (Documentation)</w:t>
      </w:r>
    </w:p>
    <w:p>
      <w:pPr>
        <w:pStyle w:val="Heading4"/>
      </w:pPr>
      <w:r>
        <w:rPr>
          <w:color w:val="555555"/>
          <w:sz w:val="22"/>
        </w:rPr>
        <w:t>Pending Confirmation</w:t>
      </w:r>
    </w:p>
    <w:p>
      <w:r>
        <w:t>Fila das operações com confirmação pendente, para o operador acompanhar e tratar o que ainda não foi confirmado pela contraparte/câmara.</w:t>
      </w:r>
    </w:p>
    <w:p>
      <w:r>
        <w:t xml:space="preserve">A gravação da tela leva </w:t>
      </w:r>
      <w:r>
        <w:rPr>
          <w:b/>
        </w:rPr>
        <w:t>só o que o operador alterou</w:t>
      </w:r>
      <w:r>
        <w:t>: o que outra pessoa ou a esteira de confirmação gravou na mesma linha depois que a tela carregou é preservado, e a linha apagada nesse meio-tempo não é recriada (a tela pede para recarregar). A exclusão só sai da tabela com o servidor confirmando.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87104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__a8pz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1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Manual Confirmation — Confirmations Monitor</w:t>
      </w:r>
    </w:p>
    <w:p>
      <w:r>
        <w:t xml:space="preserve">Fila da confirmação manual, na ordem </w:t>
      </w:r>
      <w:r>
        <w:rPr>
          <w:b/>
        </w:rPr>
        <w:t>(Pending Legal) → Pending OTC → Pending MO e/ou FO → Pending FepWeb → Ok</w:t>
      </w:r>
      <w:r>
        <w:t xml:space="preserve"> (quem valida cada produto sai do cadastro *Manual Confirmations — Validation Trail*, em Mapping; MO e FO correm em paralelo). Cada item é </w:t>
      </w:r>
      <w:r>
        <w:rPr>
          <w:b/>
        </w:rPr>
        <w:t>uma confirmação</w:t>
      </w:r>
      <w:r>
        <w:t xml:space="preserve"> — contraparte × produto × LOB × data de negociação —, e não uma operação: o botão *Abrir* mostra o PDF gravado no Electronic Inventory, *Validar* carimba a etapa com data, hora e SPN, e *Rejeitar* (MO/FO) pede comentário, avisa o Brazil OTC Ops e devolve a confirmação ao OTC.</w:t>
      </w:r>
    </w:p>
    <w:p>
      <w:r>
        <w:rPr>
          <w:b/>
        </w:rPr>
        <w:t>A confirmação também é GERADA aqui.</w:t>
      </w:r>
      <w:r>
        <w:t xml:space="preserve"> Enquanto não há documento na pasta da contraparte, o botão do item de *Pending OTC* aparece como </w:t>
      </w:r>
      <w:r>
        <w:rPr>
          <w:b/>
        </w:rPr>
        <w:t>Generate</w:t>
      </w:r>
      <w:r>
        <w:t>: ele abre o editor da confirmação em aba nova, onde o único botão é *Salvar Word + PDF no Inventory*; gravado o documento, a tela de validação abre na sequência. Fechando sem validar, a confirmação continua em *Pending OTC* e o botão volta a ser *Validate*. As telas de New Deals não têm mais o botão *Confirmation* — gerar e validar são o mesmo trabalho e moram no mesmo lugar. Nas etapas de MO e FO, sem documento na pasta o botão continua riscado: essas mesas conferem o papel, não o produzem.</w:t>
      </w:r>
    </w:p>
    <w:p>
      <w:r>
        <w:rPr>
          <w:b/>
        </w:rPr>
        <w:t>Entram na esteira</w:t>
      </w:r>
      <w:r>
        <w:t xml:space="preserve"> NDF FWD Start, NDF Commodities, opções de commodities e FXO, swaps e recompras contra cliente e o </w:t>
      </w:r>
      <w:r>
        <w:rPr>
          <w:b/>
        </w:rPr>
        <w:t>NDF Vanilla</w:t>
      </w:r>
      <w:r>
        <w:t xml:space="preserve"> de MGT contra cliente e, do Banco, o </w:t>
      </w:r>
      <w:r>
        <w:rPr>
          <w:b/>
        </w:rPr>
        <w:t>asiático</w:t>
      </w:r>
      <w:r>
        <w:t xml:space="preserve"> e o </w:t>
      </w:r>
      <w:r>
        <w:rPr>
          <w:b/>
        </w:rPr>
        <w:t>BRL fixed</w:t>
      </w:r>
      <w:r>
        <w:t xml:space="preserve"> (o Vanilla comum do Banco fica só no Pending Confirmation). O número da operação é um só no Pending, na esteira, no documento e no XML: </w:t>
      </w:r>
      <w:r>
        <w:rPr>
          <w:b/>
        </w:rPr>
        <w:t>B3 ID</w:t>
      </w:r>
      <w:r>
        <w:t xml:space="preserve"> no FWD Start e nos swaps, </w:t>
      </w:r>
      <w:r>
        <w:rPr>
          <w:b/>
        </w:rPr>
        <w:t>Deal (Athena ID)</w:t>
      </w:r>
      <w:r>
        <w:t xml:space="preserve"> no Vanilla, FXO, NDF e opção de commodities; salvar o documento grava o *numeroContrato* no </w:t>
      </w:r>
      <w:r>
        <w:rPr>
          <w:b/>
        </w:rPr>
        <w:t>FepWeb ID</w:t>
      </w:r>
      <w:r>
        <w:t xml:space="preserve"> do Pending.</w:t>
      </w:r>
    </w:p>
    <w:p>
      <w:r>
        <w:t xml:space="preserve">As duas pontas não são de validação: </w:t>
      </w:r>
      <w:r>
        <w:rPr>
          <w:b/>
        </w:rPr>
        <w:t>Pending Legal</w:t>
      </w:r>
      <w:r>
        <w:t xml:space="preserve"> é hold manual (o card tem o botão de soltar para o OTC) e </w:t>
      </w:r>
      <w:r>
        <w:rPr>
          <w:b/>
        </w:rPr>
        <w:t>Pending FepWeb</w:t>
      </w:r>
      <w:r>
        <w:t xml:space="preserve"> é derivado — validações feitas, faltando o envio ao cliente, que é o que o botão desse card marca. O envio exige a *Data Callback* de cada operação — exceto na confirmação de MGT contra cliente, que não tem callback.</w:t>
      </w:r>
    </w:p>
    <w:p>
      <w:r>
        <w:rPr>
          <w:b/>
        </w:rPr>
        <w:t>Cada etapa é assinada pela mesa dela</w:t>
      </w:r>
      <w:r>
        <w:t xml:space="preserve">, pelo papel do usuário: Pending OTC é do Back Office, Pending MO do MO e Pending FO do FO. Quem não é da mesa abre a confirmação e lê o documento, mas não assina — o botão do card aparece como *View*. O </w:t>
      </w:r>
      <w:r>
        <w:rPr>
          <w:b/>
        </w:rPr>
        <w:t>prazo</w:t>
      </w:r>
      <w:r>
        <w:t xml:space="preserve"> de cada mesa, em dias úteis contados da data da operação, é cadastrável em *Mapping → Manual Confirmations — SLA* (OTC D+3, MO D+4, FO D+6 de fábrica); validar fora do prazo exige justificativa, gravada na coluna daquela mesa.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e95_vw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Manual Confirmation — Track Confirmations</w:t>
      </w:r>
    </w:p>
    <w:p>
      <w:r>
        <w:t>Base completa das confirmações manuais, com o filtro do cabeçalho (o funil de cada coluna, como no Excel), atualização em massa por coluna, inclusão manual de linha e exportação do que está na tela. Os cards do topo filtram por etapa da esteira, e a tabela abre ordenada pelo *Aging*, do menor para o maior.</w:t>
      </w:r>
    </w:p>
    <w:p>
      <w:r>
        <w:t xml:space="preserve">A grade segue as travas do Confirmations Monitor: preencher uma coluna de validação é validar (a mesa da etapa, justificativa fora do prazo), o MO e o FO só validam depois do OTC, e preencher o envio ao cliente é o *Mark as sent* — do OTC, com as validações feitas e a *Data Callback* preenchida (exceto MGT × cliente). Reabrir a esteira é pôr o *Pending* em </w:t>
      </w:r>
      <w:r>
        <w:rPr>
          <w:rFonts w:ascii="Consolas" w:hAnsi="Consolas"/>
          <w:color w:val="B03060"/>
        </w:rPr>
        <w:t>Pending OTC</w:t>
      </w:r>
      <w:r>
        <w:t>.</w:t>
      </w:r>
    </w:p>
    <w:p>
      <w:r>
        <w:t xml:space="preserve">Os títulos das colunas seguem o idioma da aplicação (*Settlement Date*, *Trade Date*, *Underlying Asset*, *Notional/Qty*, *Counterparty*). A coluna </w:t>
      </w:r>
      <w:r>
        <w:rPr>
          <w:b/>
        </w:rPr>
        <w:t>Notional Amount CCY</w:t>
      </w:r>
      <w:r>
        <w:t xml:space="preserve"> traz a moeda do notional junto com o valor e é preenchida sozinha no mapeamento — ela é diferente do *Underlying Asset* ao lado, que em mercadoria guarda a commodity. No funil de cada coluna, </w:t>
      </w:r>
      <w:r>
        <w:rPr>
          <w:b/>
        </w:rPr>
        <w:t>(Vazias)</w:t>
      </w:r>
      <w:r>
        <w:t xml:space="preserve"> lista as linhas em que aquela coluna está vazia.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41420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tqji_c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14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sz w:val="25"/>
        </w:rPr>
        <w:t>Regulatório (Regulatory)</w:t>
      </w:r>
    </w:p>
    <w:p>
      <w:pPr>
        <w:pStyle w:val="Heading4"/>
      </w:pPr>
      <w:r>
        <w:rPr>
          <w:color w:val="555555"/>
          <w:sz w:val="22"/>
        </w:rPr>
        <w:t>Accrual — Swap (EOM)</w:t>
      </w:r>
    </w:p>
    <w:p>
      <w:r>
        <w:t>Processamento de accrual de Swap no fim de mês (EOM). Importa/calcula os fatores, roda a Validação (que bloqueia com "missing_accrual" se houver contratos sem fator), gera os arquivos de validação, concilia (recon) contra o retorno e encerra o processo.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631954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19ryvtv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319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MtM — Swap</w:t>
      </w:r>
    </w:p>
    <w:p>
      <w:r>
        <w:t>Marcação a mercado (MtM) de Swap e COE. Importa o arquivo de posição e os arquivos de valores de MtM (o sistema reconhece o tipo pelo nome), gera o batch no layout da câmara, concilia (recon) e encerra o processo.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740585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ahhrf3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405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sz w:val="25"/>
        </w:rPr>
        <w:t>Produtos — New Deals (Products)</w:t>
      </w:r>
    </w:p>
    <w:p>
      <w:pPr>
        <w:pStyle w:val="Heading4"/>
      </w:pPr>
      <w:r>
        <w:rPr>
          <w:color w:val="555555"/>
          <w:sz w:val="22"/>
        </w:rPr>
        <w:t>New Deals — NDF Vanilla</w:t>
      </w:r>
    </w:p>
    <w:p>
      <w:r>
        <w:t>Registro de novos negócios de NDF de moeda (vanilla). Mantém o cache de deals, gera o arquivo Conecta e o mapeamento do retorno da B3 — o envio passou a valer nesta página, que antes só exibia porque o registro era feito por outra ferramenta.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kumkhe4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New Deals — NDF Forward Start</w:t>
      </w:r>
    </w:p>
    <w:p>
      <w:r>
        <w:t>Registro de novos negócios de NDF do tipo Forward Start.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zuzs9tw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New Deals — NDF Other Publisher</w:t>
      </w:r>
    </w:p>
    <w:p>
      <w:r>
        <w:t>Registro de novos negócios de NDF do tipo Other Publisher (feeder).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vayts9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New Deals — NDF Commodities</w:t>
      </w:r>
    </w:p>
    <w:p>
      <w:r>
        <w:t>Registro de novos negócios de NDF de Commodities. Mantém o cache de deals, gera o arquivo Conecta e o mapeamento para a B3.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psij3t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New Deals — Opção FXO</w:t>
      </w:r>
    </w:p>
    <w:p>
      <w:r>
        <w:t>Registro de novos negócios de Opção FX (FXO). Importa a planilha, mantém o cache, gera o arquivo Conecta e o mapeamento B3 (strike, notional, vencimento, fixing).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3dx7jsc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New Deals — Opção Commodities</w:t>
      </w:r>
    </w:p>
    <w:p>
      <w:r>
        <w:t>Registro de novos negócios de Opção de Commodities, com cache, geração Conecta e mapeamento B3.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v19hjb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sz w:val="25"/>
        </w:rPr>
        <w:t>Produtos — Recompras (Unwinds)</w:t>
      </w:r>
    </w:p>
    <w:p>
      <w:pPr>
        <w:pStyle w:val="Heading4"/>
      </w:pPr>
      <w:r>
        <w:rPr>
          <w:color w:val="555555"/>
          <w:sz w:val="22"/>
        </w:rPr>
        <w:t>Unwinds — NDF FX</w:t>
      </w:r>
    </w:p>
    <w:p>
      <w:r>
        <w:t>Recompra (antecipação) de termo de moeda já registrado na B3 — processo</w:t>
      </w:r>
    </w:p>
    <w:p>
      <w:r>
        <w:t>SEPARADO do lote de liquidação da manhã. A recompra entra pela **API de</w:t>
      </w:r>
    </w:p>
    <w:p>
      <w:r>
        <w:t>liquidação do Athena</w:t>
      </w:r>
      <w:r>
        <w:rPr>
          <w:b/>
        </w:rPr>
        <w:t xml:space="preserve"> (a mesma do NDF Cockpit), que traz o </w:t>
      </w:r>
      <w:r>
        <w:t>B3 ID** do</w:t>
      </w:r>
    </w:p>
    <w:p>
      <w:r>
        <w:t>contrato: a tela a puxa sozinha de 30 em 30 minutos, das 08h às 20h, ou no</w:t>
      </w:r>
    </w:p>
    <w:p>
      <w:r>
        <w:rPr>
          <w:b/>
        </w:rPr>
        <w:t>Import</w:t>
      </w:r>
      <w:r>
        <w:t xml:space="preserve"> com o dropzone vazio. Ela pede a data e o dia útil seguinte e grava</w:t>
      </w:r>
    </w:p>
    <w:p>
      <w:r>
        <w:t>só as recompras novas. A tela casa a operação com o Live Position de NDF pelo</w:t>
      </w:r>
    </w:p>
    <w:p>
      <w:r>
        <w:t xml:space="preserve">B3 ID, </w:t>
      </w:r>
      <w:r>
        <w:rPr>
          <w:b/>
        </w:rPr>
        <w:t>confere o resultado apurado</w:t>
      </w:r>
      <w:r>
        <w:t xml:space="preserve"> e monta o arquivo TER 0014 (antecipação</w:t>
      </w:r>
    </w:p>
    <w:p>
      <w:r>
        <w:t>de contrato a termo, 133 caracteres) para o Batch Conecta. O e-mail do Athena</w:t>
      </w:r>
    </w:p>
    <w:p>
      <w:r>
        <w:t>(*BRL NDF Unwind Notification*) fica como plano B: arrastado para o dropzone</w:t>
      </w:r>
    </w:p>
    <w:p>
      <w:r>
        <w:t>quando a API não responder.</w:t>
      </w:r>
    </w:p>
    <w:p>
      <w:r>
        <w:t xml:space="preserve">A coluna </w:t>
      </w:r>
      <w:r>
        <w:rPr>
          <w:b/>
        </w:rPr>
        <w:t>Check</w:t>
      </w:r>
      <w:r>
        <w:t xml:space="preserve"> é o veredito da conferência e tem três estados: </w:t>
      </w:r>
      <w:r>
        <w:rPr>
          <w:b/>
        </w:rPr>
        <w:t>OK</w:t>
      </w:r>
      <w:r>
        <w:t>,</w:t>
      </w:r>
    </w:p>
    <w:p>
      <w:r>
        <w:rPr>
          <w:b/>
        </w:rPr>
        <w:t>NOK</w:t>
      </w:r>
      <w:r>
        <w:t xml:space="preserve"> (o valor do e-mail não bate com o recalculado) e </w:t>
      </w:r>
      <w:r>
        <w:rPr>
          <w:b/>
        </w:rPr>
        <w:t>–</w:t>
      </w:r>
      <w:r>
        <w:t xml:space="preserve"> (não deu para</w:t>
      </w:r>
    </w:p>
    <w:p>
      <w:r>
        <w:t xml:space="preserve">conferir). </w:t>
      </w:r>
      <w:r>
        <w:rPr>
          <w:b/>
        </w:rPr>
        <w:t>Só se envia com OK.</w:t>
      </w:r>
    </w:p>
    <w:p>
      <w:r>
        <w:t xml:space="preserve">A recompra é acompanhada pelo </w:t>
      </w:r>
      <w:r>
        <w:rPr>
          <w:b/>
        </w:rPr>
        <w:t>Intraday Monitor</w:t>
      </w:r>
      <w:r>
        <w:t xml:space="preserve"> (linha *Unwind NDF FX*, na</w:t>
      </w:r>
    </w:p>
    <w:p>
      <w:r>
        <w:t>zona B3 Registration, grupo NDF) e entra no aviso diário de pendências</w:t>
      </w:r>
    </w:p>
    <w:p>
      <w:r>
        <w:t xml:space="preserve">enquanto houver linha não enviada; o estado que a encerra é </w:t>
      </w:r>
      <w:r>
        <w:rPr>
          <w:b/>
        </w:rPr>
        <w:t>Sent</w:t>
      </w:r>
      <w:r>
        <w:t xml:space="preserve"> — ou</w:t>
      </w:r>
    </w:p>
    <w:p>
      <w:r>
        <w:rPr>
          <w:b/>
        </w:rPr>
        <w:t>Success</w:t>
      </w:r>
      <w:r>
        <w:t xml:space="preserve">, quando o botão verde </w:t>
      </w:r>
      <w:r>
        <w:rPr>
          <w:b/>
        </w:rPr>
        <w:t>Mapping B3 ID</w:t>
      </w:r>
      <w:r>
        <w:t xml:space="preserve"> acha no retorno da B3 uma</w:t>
      </w:r>
    </w:p>
    <w:p>
      <w:r>
        <w:t xml:space="preserve">linha </w:t>
      </w:r>
      <w:r>
        <w:rPr>
          <w:rFonts w:ascii="Consolas" w:hAnsi="Consolas"/>
          <w:color w:val="B03060"/>
        </w:rPr>
        <w:t>EXECUCAO OK</w:t>
      </w:r>
      <w:r>
        <w:t xml:space="preserve"> de antecipação com o B3 ID da recompra.</w:t>
      </w:r>
    </w:p>
    <w:p>
      <w:r>
        <w:t>O ciclo da recompra de NDF de moeda está completo no sistema: além do arquivo da</w:t>
      </w:r>
    </w:p>
    <w:p>
      <w:r>
        <w:t xml:space="preserve">B3, a operação gera o </w:t>
      </w:r>
      <w:r>
        <w:rPr>
          <w:b/>
        </w:rPr>
        <w:t>Termo de Resilição</w:t>
      </w:r>
      <w:r>
        <w:t xml:space="preserve"> (pelo Confirmations Monitor), a</w:t>
      </w:r>
    </w:p>
    <w:p>
      <w:r>
        <w:t xml:space="preserve">linha da </w:t>
      </w:r>
      <w:r>
        <w:rPr>
          <w:b/>
        </w:rPr>
        <w:t>Intrag</w:t>
      </w:r>
      <w:r>
        <w:t xml:space="preserve"> quando há fundo numa das pontas (Intrag › Unwind), entra na</w:t>
      </w:r>
    </w:p>
    <w:p>
      <w:r>
        <w:rPr>
          <w:b/>
        </w:rPr>
        <w:t>esteira de confirmação</w:t>
      </w:r>
      <w:r>
        <w:t xml:space="preserve"> e aparece no </w:t>
      </w:r>
      <w:r>
        <w:rPr>
          <w:b/>
        </w:rPr>
        <w:t>NDF Summary</w:t>
      </w:r>
      <w:r>
        <w:t xml:space="preserve"> do dia da liquidação,</w:t>
      </w:r>
    </w:p>
    <w:p>
      <w:r>
        <w:t xml:space="preserve">com o *Settlement Type* </w:t>
      </w:r>
      <w:r>
        <w:rPr>
          <w:rFonts w:ascii="Consolas" w:hAnsi="Consolas"/>
          <w:color w:val="B03060"/>
        </w:rPr>
        <w:t>UNWIND</w:t>
      </w:r>
      <w:r>
        <w:t>.</w:t>
      </w:r>
    </w:p>
    <w:p>
      <w:r>
        <w:t xml:space="preserve">O </w:t>
      </w:r>
      <w:r>
        <w:rPr>
          <w:b/>
        </w:rPr>
        <w:t>Termo de Resilição e o Pending Confirmation são só contra o cliente</w:t>
      </w:r>
      <w:r>
        <w:t>: a</w:t>
      </w:r>
    </w:p>
    <w:p>
      <w:r>
        <w:t>recompra com um fundo nosso numa das pontas (B2B Banco × Lawton/Atacama) vai</w:t>
      </w:r>
    </w:p>
    <w:p>
      <w:r>
        <w:t xml:space="preserve">para a </w:t>
      </w:r>
      <w:r>
        <w:rPr>
          <w:b/>
        </w:rPr>
        <w:t>Intrag › Unwind</w:t>
      </w:r>
      <w:r>
        <w:t xml:space="preserve"> já no </w:t>
      </w:r>
      <w:r>
        <w:rPr>
          <w:b/>
        </w:rPr>
        <w:t>import</w:t>
      </w:r>
      <w:r>
        <w:t xml:space="preserve"> (nem toda recompra é registrada na B3</w:t>
      </w:r>
    </w:p>
    <w:p>
      <w:r>
        <w:t xml:space="preserve">pelo OTC Tracker). Linha </w:t>
      </w:r>
      <w:r>
        <w:rPr>
          <w:b/>
        </w:rPr>
        <w:t>Sent</w:t>
      </w:r>
      <w:r>
        <w:t xml:space="preserve"> ainda se reenvia (B3 recusou,</w:t>
      </w:r>
    </w:p>
    <w:p>
      <w:r>
        <w:t>arquivo sumiu) e se edita — volta a *Pending* e passa pelo checker.</w:t>
      </w:r>
    </w:p>
    <w:p>
      <w:r>
        <w:t xml:space="preserve">O Termo de Resilição tem linha própria na zona </w:t>
      </w:r>
      <w:r>
        <w:rPr>
          <w:b/>
        </w:rPr>
        <w:t>Confirmations</w:t>
      </w:r>
      <w:r>
        <w:t xml:space="preserve"> do Intraday</w:t>
      </w:r>
    </w:p>
    <w:p>
      <w:r>
        <w:t>Monitor (bloco Unwinds), contada pela etapa da esteira com a mesma segregação do</w:t>
      </w:r>
    </w:p>
    <w:p>
      <w:r>
        <w:t>Confirmations Monitor.</w:t>
      </w:r>
    </w:p>
    <w:p>
      <w:pPr>
        <w:pStyle w:val="Heading4"/>
      </w:pPr>
      <w:r>
        <w:rPr>
          <w:color w:val="555555"/>
          <w:sz w:val="22"/>
        </w:rPr>
        <w:t>Unwinds — demais produtos</w:t>
      </w:r>
    </w:p>
    <w:p>
      <w:r>
        <w:t xml:space="preserve">As telas de recompra de </w:t>
      </w:r>
      <w:r>
        <w:rPr>
          <w:b/>
        </w:rPr>
        <w:t>Swap (CEM · EDG)</w:t>
      </w:r>
      <w:r>
        <w:t xml:space="preserve">, </w:t>
      </w:r>
      <w:r>
        <w:rPr>
          <w:b/>
        </w:rPr>
        <w:t>NDF Commodities</w:t>
      </w:r>
      <w:r>
        <w:t>, **Options</w:t>
      </w:r>
    </w:p>
    <w:p>
      <w:r>
        <w:t>(FXO · Commodities · EDG)</w:t>
      </w:r>
      <w:r>
        <w:rPr>
          <w:b/>
        </w:rPr>
        <w:t xml:space="preserve">, </w:t>
      </w:r>
      <w:r>
        <w:t>COE</w:t>
      </w:r>
      <w:r>
        <w:rPr>
          <w:b/>
        </w:rPr>
        <w:t xml:space="preserve"> e </w:t>
      </w:r>
      <w:r>
        <w:t>DCE** são uma tela só, com as colunas</w:t>
      </w:r>
    </w:p>
    <w:p>
      <w:r>
        <w:t xml:space="preserve">de cada produto. Elas importam a </w:t>
      </w:r>
      <w:r>
        <w:rPr>
          <w:b/>
        </w:rPr>
        <w:t>planilha</w:t>
      </w:r>
      <w:r>
        <w:t xml:space="preserve"> da recompra ou o </w:t>
      </w:r>
      <w:r>
        <w:rPr>
          <w:b/>
        </w:rPr>
        <w:t>e-mail</w:t>
      </w:r>
      <w:r>
        <w:t xml:space="preserve"> com a</w:t>
      </w:r>
    </w:p>
    <w:p>
      <w:r>
        <w:t>tabela colada do Excel no corpo, casam a operação com o Live Position (B3 ID,</w:t>
      </w:r>
    </w:p>
    <w:p>
      <w:r>
        <w:t>ou características com candidato único), conferem o resultado (coluna</w:t>
      </w:r>
    </w:p>
    <w:p>
      <w:r>
        <w:rPr>
          <w:b/>
        </w:rPr>
        <w:t>Check</w:t>
      </w:r>
      <w:r>
        <w:t>) e enviam o arquivo de antecipação da B3 ao Batch Conecta. COE e DCE</w:t>
      </w:r>
    </w:p>
    <w:p>
      <w:r>
        <w:t>não têm layout de antecipação e fecham em *Imported*/*Approved*.</w:t>
      </w:r>
    </w:p>
    <w:p>
      <w:r>
        <w:t xml:space="preserve">A de </w:t>
      </w:r>
      <w:r>
        <w:rPr>
          <w:b/>
        </w:rPr>
        <w:t>NDF Commodities</w:t>
      </w:r>
      <w:r>
        <w:t xml:space="preserve"> tem o ciclo completo da de moeda: Pending</w:t>
      </w:r>
    </w:p>
    <w:p>
      <w:r>
        <w:t>Confirmation e esteira no import, Termo de Resilição (só contra o cliente),</w:t>
      </w:r>
    </w:p>
    <w:p>
      <w:r>
        <w:t>Intrag › Unwind quando a outra ponta é fundo nosso, Other Products e Pay/Rec</w:t>
      </w:r>
    </w:p>
    <w:p>
      <w:r>
        <w:t xml:space="preserve">(como </w:t>
      </w:r>
      <w:r>
        <w:rPr>
          <w:b/>
        </w:rPr>
        <w:t>COMM TER</w:t>
      </w:r>
      <w:r>
        <w:t>). No B2B com o Lawton o Send grava as duas visões (Banco e</w:t>
      </w:r>
    </w:p>
    <w:p>
      <w:r>
        <w:t>Lawton). No Termo de Resilição de commodities, Valor Base Liquidado e Novo</w:t>
      </w:r>
    </w:p>
    <w:p>
      <w:r>
        <w:t>Valor Base saem só com a quantidade, sem o código da mercadoria. A recompra de Opção de Commodities e a de Swap EDG seguem o mesmo ciclo: contra o cliente, Termo de Resilição e esteira; contra Atacama/Lawton, a Intrag › Unwind; a liquidação no Other Products e no Settlement Advice de opção e de swap, com o aviso de recompra. Swap CEM, Options FXO/EDG, COE e DCE ainda não têm Termo nem esteira.</w:t>
      </w:r>
    </w:p>
    <w:p>
      <w:r>
        <w:t xml:space="preserve">A de </w:t>
      </w:r>
      <w:r>
        <w:rPr>
          <w:b/>
        </w:rPr>
        <w:t>Options Commodities</w:t>
      </w:r>
      <w:r>
        <w:t xml:space="preserve"> lê o e-mail da mesa (*INTERNAL JPMorgan Trade</w:t>
      </w:r>
    </w:p>
    <w:p>
      <w:r>
        <w:t xml:space="preserve">Recap … Unwind*), uma tabela por perna: </w:t>
      </w:r>
      <w:r>
        <w:rPr>
          <w:b/>
        </w:rPr>
        <w:t>Client</w:t>
      </w:r>
      <w:r>
        <w:t xml:space="preserve"> (a operação com o cliente) e</w:t>
      </w:r>
    </w:p>
    <w:p>
      <w:r>
        <w:rPr>
          <w:b/>
        </w:rPr>
        <w:t>Banco</w:t>
      </w:r>
      <w:r>
        <w:t xml:space="preserve"> (o B2B Banco × Lawton). O e-mail não traz o B3 ID — a coluna</w:t>
      </w:r>
    </w:p>
    <w:p>
      <w:r>
        <w:t>*Contract* é o mês do futuro —, e cada perna é achada no Live Position pelas</w:t>
      </w:r>
    </w:p>
    <w:p>
      <w:r>
        <w:t>características (strike, quantidade original, Call/Put), só entre os contratos</w:t>
      </w:r>
    </w:p>
    <w:p>
      <w:r>
        <w:t>do seu tipo; nome do cliente e datas da opção desempatam, e mais de um</w:t>
      </w:r>
    </w:p>
    <w:p>
      <w:r>
        <w:t>candidato deixa a linha sem B3 ID, avisando. Quantidade em unidades da</w:t>
      </w:r>
    </w:p>
    <w:p>
      <w:r>
        <w:t xml:space="preserve">mercadoria; prêmio em USD por unidade e a paridade na coluna </w:t>
      </w:r>
      <w:r>
        <w:rPr>
          <w:b/>
        </w:rPr>
        <w:t>FX Rate</w:t>
      </w:r>
      <w:r>
        <w:t>, como</w:t>
      </w:r>
    </w:p>
    <w:p>
      <w:r>
        <w:t>vieram no e-mail; sinal do banco (no B2B, o contrário da perna Client).</w:t>
      </w:r>
    </w:p>
    <w:p>
      <w:r>
        <w:rPr>
          <w:b/>
        </w:rPr>
        <w:t>New Deals › Swap › Cashflow</w:t>
      </w:r>
      <w:r>
        <w:t xml:space="preserve"> importa o Deal Ticket e gera os arquivos da B3;</w:t>
      </w:r>
    </w:p>
    <w:p>
      <w:r>
        <w:rPr>
          <w:b/>
        </w:rPr>
        <w:t>New Deals › Options › EDG</w:t>
      </w:r>
      <w:r>
        <w:t xml:space="preserve"> ainda só abre a grade.</w:t>
      </w:r>
    </w:p>
    <w:p>
      <w:r>
        <w:t>Para conferir o valor de uma recompra de NDF fora do fluxo do dia, use **Apps ›</w:t>
      </w:r>
    </w:p>
    <w:p>
      <w:r>
        <w:t>Tools › Calculators › Unwind NDF Calculator**, que faz a mesma conta desta tela.</w:t>
      </w:r>
    </w:p>
    <w:p>
      <w:pPr>
        <w:pStyle w:val="Heading3"/>
      </w:pPr>
      <w:r>
        <w:rPr>
          <w:sz w:val="25"/>
        </w:rPr>
        <w:t>Base de Dados &amp; Administração (Data Base)</w:t>
      </w:r>
    </w:p>
    <w:p>
      <w:pPr>
        <w:pStyle w:val="Heading4"/>
      </w:pPr>
      <w:r>
        <w:rPr>
          <w:color w:val="555555"/>
          <w:sz w:val="22"/>
        </w:rPr>
        <w:t>Reference Data</w:t>
      </w:r>
    </w:p>
    <w:p>
      <w:r>
        <w:t xml:space="preserve">Dados de referência e tabelas de apoio usados pelas demais telas (contrapartes, contas, mapeamentos). O </w:t>
      </w:r>
      <w:r>
        <w:rPr>
          <w:b/>
        </w:rPr>
        <w:t>duplo clique na linha</w:t>
      </w:r>
      <w:r>
        <w:t xml:space="preserve"> abre o detalhe da contraparte — CGD, tipo de liquidação (net), contas bancárias com os defaults de pagamento/recebimento e contatos —, tudo sob maker/checker. Esse detalhe </w:t>
      </w:r>
      <w:r>
        <w:rPr>
          <w:b/>
        </w:rPr>
        <w:t>vai no export</w:t>
      </w:r>
      <w:r>
        <w:t xml:space="preserve"> em seis colunas próprias, que nascem ocultas e podem ser exibidas pelo botão *Columns*.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09520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6jsrk2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95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Index B3</w:t>
      </w:r>
    </w:p>
    <w:p>
      <w:r>
        <w:t>Consulta de índices e resultados da B3 usados nas apurações.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smidnx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Intragrupo — NDF</w:t>
      </w:r>
    </w:p>
    <w:p>
      <w:r>
        <w:t xml:space="preserve">Operações intragrupo de NDF. Permite enviar o arquivo, editar e aprovar as operações entre entidades do grupo. O ciclo fecha com o </w:t>
      </w:r>
      <w:r>
        <w:rPr>
          <w:b/>
        </w:rPr>
        <w:t>Intrag ID</w:t>
      </w:r>
      <w:r>
        <w:t xml:space="preserve">: preenchido pelo </w:t>
      </w:r>
      <w:r>
        <w:rPr>
          <w:b/>
        </w:rPr>
        <w:t>Mapping Intrag ID</w:t>
      </w:r>
      <w:r>
        <w:t xml:space="preserve"> (CSV de retorno, casado pelo B3 ID) ou digitado no </w:t>
      </w:r>
      <w:r>
        <w:rPr>
          <w:b/>
        </w:rPr>
        <w:t>Edit</w:t>
      </w:r>
      <w:r>
        <w:t xml:space="preserve"> da linha, a operação vai a </w:t>
      </w:r>
      <w:r>
        <w:rPr>
          <w:rFonts w:ascii="Consolas" w:hAnsi="Consolas"/>
          <w:color w:val="B03060"/>
        </w:rPr>
        <w:t>Success</w:t>
      </w:r>
      <w:r>
        <w:t xml:space="preserve">; edição de dado sem Intrag ID novo vai a </w:t>
      </w:r>
      <w:r>
        <w:rPr>
          <w:rFonts w:ascii="Consolas" w:hAnsi="Consolas"/>
          <w:color w:val="B03060"/>
        </w:rPr>
        <w:t>Pending</w:t>
      </w:r>
      <w:r>
        <w:t xml:space="preserve"> e exige aprovação de um segundo usuário.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h980f6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Intragrupo — Opção</w:t>
      </w:r>
    </w:p>
    <w:p>
      <w:r>
        <w:t xml:space="preserve">Operações intragrupo de Opção. Permite enviar o arquivo, editar e aprovar as operações entre entidades do grupo. O ciclo do </w:t>
      </w:r>
      <w:r>
        <w:rPr>
          <w:b/>
        </w:rPr>
        <w:t>Intrag ID</w:t>
      </w:r>
      <w:r>
        <w:t xml:space="preserve"> é o mesmo da tela de NDF: Mapping pelo retorno ou digitado no Edit → </w:t>
      </w:r>
      <w:r>
        <w:rPr>
          <w:rFonts w:ascii="Consolas" w:hAnsi="Consolas"/>
          <w:color w:val="B03060"/>
        </w:rPr>
        <w:t>Success</w:t>
      </w:r>
      <w:r>
        <w:t xml:space="preserve">; edição de dado → </w:t>
      </w:r>
      <w:r>
        <w:rPr>
          <w:rFonts w:ascii="Consolas" w:hAnsi="Consolas"/>
          <w:color w:val="B03060"/>
        </w:rPr>
        <w:t>Pending</w:t>
      </w:r>
      <w:r>
        <w:t xml:space="preserve"> com aprovação de um segundo usuário.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y_do4so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Usuários &amp; Papéis</w:t>
      </w:r>
    </w:p>
    <w:p>
      <w:r>
        <w:t>Administração de usuários e papéis (perfis de acesso) do sistema.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480216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afn2djh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802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Central de Chamados — Lista</w:t>
      </w:r>
    </w:p>
    <w:p>
      <w:r>
        <w:t>Lista dos chamados de suporte interno registrados no sistema.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1uxpms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Central de Chamados — Detalhe</w:t>
      </w:r>
    </w:p>
    <w:p>
      <w:r>
        <w:t>Detalhe de um chamado de suporte, com histórico e status.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3v37aunu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color w:val="555555"/>
          <w:sz w:val="22"/>
        </w:rPr>
        <w:t>Central de Chamados — Novo</w:t>
      </w:r>
    </w:p>
    <w:p>
      <w:r>
        <w:t>Abertura de um novo chamado de suporte interno.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kbx44jz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sz w:val="25"/>
        </w:rPr>
        <w:t>5.99. Módulos pendentes (a desenvolver) 🔧</w:t>
      </w:r>
    </w:p>
    <w:p>
      <w:r>
        <w:t xml:space="preserve">Os módulos abaixo estão previstos no menu lateral mas </w:t>
      </w:r>
      <w:r>
        <w:rPr>
          <w:b/>
        </w:rPr>
        <w:t>ainda não foram desenvolvidos</w:t>
      </w:r>
      <w:r>
        <w:t xml:space="preserve"> no código (as rotas retornam 404). Conforme cada um for entregue: (1) recapture a tela — veja a seção 8; (2) marque o item como concluído </w:t>
      </w:r>
      <w:r>
        <w:rPr>
          <w:rFonts w:ascii="Consolas" w:hAnsi="Consolas"/>
          <w:color w:val="B03060"/>
        </w:rPr>
        <w:t>- [x]</w:t>
      </w:r>
      <w:r>
        <w:t>; (3) mova-o para a seção 5 correspondente usando o bloco-modelo da seção 8.</w:t>
      </w:r>
    </w:p>
    <w:p>
      <w:r>
        <w:rPr>
          <w:b/>
        </w:rPr>
        <w:t>Aplicações — Daily Settlement (Apps)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b/>
        </w:rPr>
        <w:t>Electronic Inventory</w:t>
      </w:r>
      <w:r>
        <w:t xml:space="preserve"> — </w:t>
      </w:r>
      <w:r>
        <w:rPr>
          <w:rFonts w:ascii="Consolas" w:hAnsi="Consolas"/>
          <w:color w:val="B03060"/>
        </w:rPr>
        <w:t>/electronic-inventory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b/>
        </w:rPr>
        <w:t>Latam Desk Position</w:t>
      </w:r>
      <w:r>
        <w:t xml:space="preserve"> — </w:t>
      </w:r>
      <w:r>
        <w:rPr>
          <w:rFonts w:ascii="Consolas" w:hAnsi="Consolas"/>
          <w:color w:val="B03060"/>
        </w:rPr>
        <w:t>/other-products-swap-latamdeskposition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Athena</w:t>
      </w:r>
      <w:r>
        <w:t xml:space="preserve"> — </w:t>
      </w:r>
      <w:r>
        <w:rPr>
          <w:rFonts w:ascii="Consolas" w:hAnsi="Consolas"/>
          <w:color w:val="B03060"/>
        </w:rPr>
        <w:t>/other-products-swap-athena</w:t>
      </w:r>
      <w:r>
        <w:t xml:space="preserve"> — *implementado* (view read-only do JSON </w:t>
      </w:r>
      <w:r>
        <w:rPr>
          <w:rFonts w:ascii="Consolas" w:hAnsi="Consolas"/>
          <w:color w:val="B03060"/>
        </w:rPr>
        <w:t>br-onshore-settlements</w:t>
      </w:r>
      <w:r>
        <w:t>; falta só recapturar a tela e mover para a seção 5)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VCP</w:t>
      </w:r>
      <w:r>
        <w:t xml:space="preserve"> — </w:t>
      </w:r>
      <w:r>
        <w:rPr>
          <w:rFonts w:ascii="Consolas" w:hAnsi="Consolas"/>
          <w:color w:val="B03060"/>
        </w:rPr>
        <w:t>/other-products-swap-vcp</w:t>
      </w:r>
      <w:r>
        <w:t xml:space="preserve"> — *implementado* (cross-join Operations B3 × Events; falta recaptura/mover)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Events</w:t>
      </w:r>
      <w:r>
        <w:t xml:space="preserve"> — </w:t>
      </w:r>
      <w:r>
        <w:rPr>
          <w:rFonts w:ascii="Consolas" w:hAnsi="Consolas"/>
          <w:color w:val="B03060"/>
        </w:rPr>
        <w:t>/other-products-swap-events</w:t>
      </w:r>
      <w:r>
        <w:t xml:space="preserve"> — *implementado* (view read-only do JSON </w:t>
      </w:r>
      <w:r>
        <w:rPr>
          <w:rFonts w:ascii="Consolas" w:hAnsi="Consolas"/>
          <w:color w:val="B03060"/>
        </w:rPr>
        <w:t>eventos-swap-jpm</w:t>
      </w:r>
      <w:r>
        <w:t>, 63 colunas; falta recaptura/mover)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Kapital Hybrids</w:t>
      </w:r>
      <w:r>
        <w:t xml:space="preserve"> — </w:t>
      </w:r>
      <w:r>
        <w:rPr>
          <w:rFonts w:ascii="Consolas" w:hAnsi="Consolas"/>
          <w:color w:val="B03060"/>
        </w:rPr>
        <w:t>/other-products-swap-kapital-hybrids</w:t>
      </w:r>
      <w:r>
        <w:t xml:space="preserve"> — *implementado* (importa </w:t>
      </w:r>
      <w:r>
        <w:rPr>
          <w:rFonts w:ascii="Consolas" w:hAnsi="Consolas"/>
          <w:color w:val="B03060"/>
        </w:rPr>
        <w:t>BANCO_UPCOMING_PAYMENTS.csv</w:t>
      </w:r>
      <w:r>
        <w:t xml:space="preserve">, filtra Settlement Date = hoje, agrega por Kapital ID: Owner curve = Σ positivos, Counterparty curve = Σ negativos, BRL Net Amount = Owner + Counterparty; Cetip ID via </w:t>
      </w:r>
      <w:r>
        <w:rPr>
          <w:rFonts w:ascii="Consolas" w:hAnsi="Consolas"/>
          <w:color w:val="B03060"/>
        </w:rPr>
        <w:t>mapping_swap-hyb.json</w:t>
      </w:r>
      <w:r>
        <w:t>; falta recaptura/mover)</w:t>
      </w:r>
    </w:p>
    <w:p>
      <w:r>
        <w:rPr>
          <w:b/>
        </w:rPr>
        <w:t>Documentação (Documentation)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b/>
        </w:rPr>
        <w:t>Metrics</w:t>
      </w:r>
      <w:r>
        <w:t xml:space="preserve"> — </w:t>
      </w:r>
      <w:r>
        <w:rPr>
          <w:rFonts w:ascii="Consolas" w:hAnsi="Consolas"/>
          <w:color w:val="B03060"/>
        </w:rPr>
        <w:t>/metrics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b/>
        </w:rPr>
        <w:t>CGD</w:t>
      </w:r>
      <w:r>
        <w:t xml:space="preserve"> — </w:t>
      </w:r>
      <w:r>
        <w:rPr>
          <w:rFonts w:ascii="Consolas" w:hAnsi="Consolas"/>
          <w:color w:val="B03060"/>
        </w:rPr>
        <w:t>/cgd</w:t>
      </w:r>
    </w:p>
    <w:p>
      <w:r>
        <w:rPr>
          <w:b/>
        </w:rPr>
        <w:t>Regulatório (Regulatory)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b/>
        </w:rPr>
        <w:t>KAPITAL</w:t>
      </w:r>
      <w:r>
        <w:t xml:space="preserve"> — </w:t>
      </w:r>
      <w:r>
        <w:rPr>
          <w:rFonts w:ascii="Consolas" w:hAnsi="Consolas"/>
          <w:color w:val="B03060"/>
        </w:rPr>
        <w:t>/regulatory/e-financeira/kapital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b/>
        </w:rPr>
        <w:t>ATHENA-NDF</w:t>
      </w:r>
      <w:r>
        <w:t xml:space="preserve"> — </w:t>
      </w:r>
      <w:r>
        <w:rPr>
          <w:rFonts w:ascii="Consolas" w:hAnsi="Consolas"/>
          <w:color w:val="B03060"/>
        </w:rPr>
        <w:t>/regulatory/e-financeira/athena-ndf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b/>
        </w:rPr>
        <w:t>ATHENA-FXO</w:t>
      </w:r>
      <w:r>
        <w:t xml:space="preserve"> — </w:t>
      </w:r>
      <w:r>
        <w:rPr>
          <w:rFonts w:ascii="Consolas" w:hAnsi="Consolas"/>
          <w:color w:val="B03060"/>
        </w:rPr>
        <w:t>/regulatory/e-financeira/athena-fxo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b/>
        </w:rPr>
        <w:t>PYRAMID</w:t>
      </w:r>
      <w:r>
        <w:t xml:space="preserve"> — </w:t>
      </w:r>
      <w:r>
        <w:rPr>
          <w:rFonts w:ascii="Consolas" w:hAnsi="Consolas"/>
          <w:color w:val="B03060"/>
        </w:rPr>
        <w:t>/regulatory/e-financeira/pyramid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WHT</w:t>
      </w:r>
      <w:r>
        <w:t xml:space="preserve"> — </w:t>
      </w:r>
      <w:r>
        <w:rPr>
          <w:rFonts w:ascii="Consolas" w:hAnsi="Consolas"/>
          <w:color w:val="B03060"/>
        </w:rPr>
        <w:t>/regulatory/wht</w:t>
      </w:r>
      <w:r>
        <w:t xml:space="preserve"> — *implementado* (o IR das liquidações por decêndio — NDF Summary + Other Products — batido com o relatório "Posição de Tributos" do HUB; o arquivo para o HUB inserir o que falta; a correção de linha, em lote, a exclusão e a inclusão manual (Add Row) com confirmação de outro usuário, o Trade Date (OTC_TD) separado da data do evento (OTC_ET/HUB_ET); HANDOFF §692, §702)</w:t>
      </w:r>
    </w:p>
    <w:p>
      <w:r>
        <w:rPr>
          <w:b/>
        </w:rPr>
        <w:t>Produtos — New Deals (Products)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b/>
        </w:rPr>
        <w:t>Deliverable Forward</w:t>
      </w:r>
      <w:r>
        <w:t xml:space="preserve"> — </w:t>
      </w:r>
      <w:r>
        <w:rPr>
          <w:rFonts w:ascii="Consolas" w:hAnsi="Consolas"/>
          <w:color w:val="B03060"/>
        </w:rPr>
        <w:t>/new-deals/dce/deliverable-forward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b/>
        </w:rPr>
        <w:t>NDF</w:t>
      </w:r>
      <w:r>
        <w:t xml:space="preserve"> — </w:t>
      </w:r>
      <w:r>
        <w:rPr>
          <w:rFonts w:ascii="Consolas" w:hAnsi="Consolas"/>
          <w:color w:val="B03060"/>
        </w:rPr>
        <w:t>/new-deals/dce/ndf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b/>
        </w:rPr>
        <w:t>Option</w:t>
      </w:r>
      <w:r>
        <w:t xml:space="preserve"> — </w:t>
      </w:r>
      <w:r>
        <w:rPr>
          <w:rFonts w:ascii="Consolas" w:hAnsi="Consolas"/>
          <w:color w:val="B03060"/>
        </w:rPr>
        <w:t>/new-deals/dce/option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b/>
        </w:rPr>
        <w:t>Swap</w:t>
      </w:r>
      <w:r>
        <w:t xml:space="preserve"> — </w:t>
      </w:r>
      <w:r>
        <w:rPr>
          <w:rFonts w:ascii="Consolas" w:hAnsi="Consolas"/>
          <w:color w:val="B03060"/>
        </w:rPr>
        <w:t>/new_deals-dce-swap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CEM</w:t>
      </w:r>
      <w:r>
        <w:t xml:space="preserve"> — </w:t>
      </w:r>
      <w:r>
        <w:rPr>
          <w:rFonts w:ascii="Consolas" w:hAnsi="Consolas"/>
          <w:color w:val="B03060"/>
        </w:rPr>
        <w:t>/unwinds/swap/cem</w:t>
      </w:r>
      <w:r>
        <w:t xml:space="preserve"> — *tela pronta (21/09/2026); importação e envio em construção*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EDG</w:t>
      </w:r>
      <w:r>
        <w:t xml:space="preserve"> — </w:t>
      </w:r>
      <w:r>
        <w:rPr>
          <w:rFonts w:ascii="Consolas" w:hAnsi="Consolas"/>
          <w:color w:val="B03060"/>
        </w:rPr>
        <w:t>/unwinds/swap/edg</w:t>
      </w:r>
      <w:r>
        <w:t xml:space="preserve"> — *tela pronta (21/09/2026); importação e envio em construção*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FX</w:t>
      </w:r>
      <w:r>
        <w:t xml:space="preserve"> — </w:t>
      </w:r>
      <w:r>
        <w:rPr>
          <w:rFonts w:ascii="Consolas" w:hAnsi="Consolas"/>
          <w:color w:val="B03060"/>
        </w:rPr>
        <w:t>/unwinds/ndf/fx</w:t>
      </w:r>
      <w:r>
        <w:t xml:space="preserve"> — *implementado de ponta a ponta*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Commodities</w:t>
      </w:r>
      <w:r>
        <w:t xml:space="preserve"> — </w:t>
      </w:r>
      <w:r>
        <w:rPr>
          <w:rFonts w:ascii="Consolas" w:hAnsi="Consolas"/>
          <w:color w:val="B03060"/>
        </w:rPr>
        <w:t>/unwinds/ndf/commodities</w:t>
      </w:r>
      <w:r>
        <w:t xml:space="preserve"> — *tela pronta (21/09/2026); importação e envio em construção*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FXO</w:t>
      </w:r>
      <w:r>
        <w:t xml:space="preserve"> — </w:t>
      </w:r>
      <w:r>
        <w:rPr>
          <w:rFonts w:ascii="Consolas" w:hAnsi="Consolas"/>
          <w:color w:val="B03060"/>
        </w:rPr>
        <w:t>/unwinds/options/fxo</w:t>
      </w:r>
      <w:r>
        <w:t xml:space="preserve"> — *tela pronta (21/09/2026); importação e envio em construção*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Commodities</w:t>
      </w:r>
      <w:r>
        <w:t xml:space="preserve"> — </w:t>
      </w:r>
      <w:r>
        <w:rPr>
          <w:rFonts w:ascii="Consolas" w:hAnsi="Consolas"/>
          <w:color w:val="B03060"/>
        </w:rPr>
        <w:t>/unwinds/options/commodities</w:t>
      </w:r>
      <w:r>
        <w:t xml:space="preserve"> — *tela pronta (21/09/2026); importação e envio em construção*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EDG</w:t>
      </w:r>
      <w:r>
        <w:t xml:space="preserve"> — </w:t>
      </w:r>
      <w:r>
        <w:rPr>
          <w:rFonts w:ascii="Consolas" w:hAnsi="Consolas"/>
          <w:color w:val="B03060"/>
        </w:rPr>
        <w:t>/unwinds/options/edg</w:t>
      </w:r>
      <w:r>
        <w:t xml:space="preserve"> — *tela pronta (21/09/2026); importação e envio em construção*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COE</w:t>
      </w:r>
      <w:r>
        <w:t xml:space="preserve"> — </w:t>
      </w:r>
      <w:r>
        <w:rPr>
          <w:rFonts w:ascii="Consolas" w:hAnsi="Consolas"/>
          <w:color w:val="B03060"/>
        </w:rPr>
        <w:t>/unwinds/coe</w:t>
      </w:r>
      <w:r>
        <w:t xml:space="preserve"> — *tela pronta (21/09/2026); importação e envio em construção*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Deliverable Forward</w:t>
      </w:r>
      <w:r>
        <w:t xml:space="preserve"> — </w:t>
      </w:r>
      <w:r>
        <w:rPr>
          <w:rFonts w:ascii="Consolas" w:hAnsi="Consolas"/>
          <w:color w:val="B03060"/>
        </w:rPr>
        <w:t>/unwinds/dce/deliverable-forward</w:t>
      </w:r>
      <w:r>
        <w:t xml:space="preserve"> — *tela pronta (21/09/2026); importação e envio em construção*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NDF</w:t>
      </w:r>
      <w:r>
        <w:t xml:space="preserve"> — </w:t>
      </w:r>
      <w:r>
        <w:rPr>
          <w:rFonts w:ascii="Consolas" w:hAnsi="Consolas"/>
          <w:color w:val="B03060"/>
        </w:rPr>
        <w:t>/unwinds/dce/ndf</w:t>
      </w:r>
      <w:r>
        <w:t xml:space="preserve"> — *tela pronta (21/09/2026); importação e envio em construção*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Option</w:t>
      </w:r>
      <w:r>
        <w:t xml:space="preserve"> — </w:t>
      </w:r>
      <w:r>
        <w:rPr>
          <w:rFonts w:ascii="Consolas" w:hAnsi="Consolas"/>
          <w:color w:val="B03060"/>
        </w:rPr>
        <w:t>/unwinds/dce/option</w:t>
      </w:r>
      <w:r>
        <w:t xml:space="preserve"> — *tela pronta (21/09/2026); importação e envio em construção*</w:t>
      </w:r>
    </w:p>
    <w:p>
      <w:pPr>
        <w:pStyle w:val="ListBullet"/>
      </w:pPr>
      <w:r>
        <w:rPr>
          <w:rFonts w:ascii="Segoe UI Symbol" w:hAnsi="Segoe UI Symbol"/>
        </w:rPr>
        <w:t xml:space="preserve">☑ </w:t>
      </w:r>
      <w:r>
        <w:rPr>
          <w:b/>
        </w:rPr>
        <w:t>Swap</w:t>
      </w:r>
      <w:r>
        <w:t xml:space="preserve"> — </w:t>
      </w:r>
      <w:r>
        <w:rPr>
          <w:rFonts w:ascii="Consolas" w:hAnsi="Consolas"/>
          <w:color w:val="B03060"/>
        </w:rPr>
        <w:t>/unwinds/dce/swap</w:t>
      </w:r>
      <w:r>
        <w:t xml:space="preserve"> — *tela pronta (21/09/2026); importação e envio em construção*</w:t>
      </w:r>
    </w:p>
    <w:p>
      <w:pPr>
        <w:pStyle w:val="Heading2"/>
      </w:pPr>
      <w:r>
        <w:rPr>
          <w:color w:val="0066CC"/>
          <w:sz w:val="30"/>
        </w:rPr>
        <w:t>6. Tratamento de Exceções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Código / Mensagem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Quando ocorre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Ação do operador</w:t>
            </w:r>
          </w:p>
        </w:tc>
      </w:tr>
      <w:tr>
        <w:tc>
          <w:tcPr>
            <w:tcW w:type="dxa" w:w="3312"/>
          </w:tcPr>
          <w:p>
            <w:r>
              <w:t>HTTP 401 — Not authenticated</w:t>
            </w:r>
          </w:p>
        </w:tc>
        <w:tc>
          <w:tcPr>
            <w:tcW w:type="dxa" w:w="3312"/>
          </w:tcPr>
          <w:p>
            <w:r>
              <w:t>Sessão expirou/não autenticada.</w:t>
            </w:r>
          </w:p>
        </w:tc>
        <w:tc>
          <w:tcPr>
            <w:tcW w:type="dxa" w:w="3312"/>
          </w:tcPr>
          <w:p>
            <w:r>
              <w:t>Refaça login + 2FA.</w:t>
            </w:r>
          </w:p>
        </w:tc>
      </w:tr>
      <w:tr>
        <w:tc>
          <w:tcPr>
            <w:tcW w:type="dxa" w:w="3312"/>
          </w:tcPr>
          <w:p>
            <w:r>
              <w:t>HTTP 400 — No file provided</w:t>
            </w:r>
          </w:p>
        </w:tc>
        <w:tc>
          <w:tcPr>
            <w:tcW w:type="dxa" w:w="3312"/>
          </w:tcPr>
          <w:p>
            <w:r>
              <w:t>Nenhum arquivo enviado.</w:t>
            </w:r>
          </w:p>
        </w:tc>
        <w:tc>
          <w:tcPr>
            <w:tcW w:type="dxa" w:w="3312"/>
          </w:tcPr>
          <w:p>
            <w:r>
              <w:t>Selecione/arraste o arquivo.</w:t>
            </w:r>
          </w:p>
        </w:tc>
      </w:tr>
      <w:tr>
        <w:tc>
          <w:tcPr>
            <w:tcW w:type="dxa" w:w="3312"/>
          </w:tcPr>
          <w:p>
            <w:r>
              <w:t>HTTP 400 — Invalid date</w:t>
            </w:r>
          </w:p>
        </w:tc>
        <w:tc>
          <w:tcPr>
            <w:tcW w:type="dxa" w:w="3312"/>
          </w:tcPr>
          <w:p>
            <w:r>
              <w:t>Data em formato inválido.</w:t>
            </w:r>
          </w:p>
        </w:tc>
        <w:tc>
          <w:tcPr>
            <w:tcW w:type="dxa" w:w="3312"/>
          </w:tcPr>
          <w:p>
            <w:r>
              <w:t>Use o datepicker.</w:t>
            </w:r>
          </w:p>
        </w:tc>
      </w:tr>
      <w:tr>
        <w:tc>
          <w:tcPr>
            <w:tcW w:type="dxa" w:w="3312"/>
          </w:tcPr>
          <w:p>
            <w:r>
              <w:t>HTTP 400 — Unrecognized file</w:t>
            </w:r>
          </w:p>
        </w:tc>
        <w:tc>
          <w:tcPr>
            <w:tcW w:type="dxa" w:w="3312"/>
          </w:tcPr>
          <w:p>
            <w:r>
              <w:t>Nome do arquivo fora do padrão.</w:t>
            </w:r>
          </w:p>
        </w:tc>
        <w:tc>
          <w:tcPr>
            <w:tcW w:type="dxa" w:w="3312"/>
          </w:tcPr>
          <w:p>
            <w:r>
              <w:t>Envie o arquivo correto; renomeie.</w:t>
            </w:r>
          </w:p>
        </w:tc>
      </w:tr>
      <w:tr>
        <w:tc>
          <w:tcPr>
            <w:tcW w:type="dxa" w:w="3312"/>
          </w:tcPr>
          <w:p>
            <w:r>
              <w:t>HTTP 400 — No files in source folder</w:t>
            </w:r>
          </w:p>
        </w:tc>
        <w:tc>
          <w:tcPr>
            <w:tcW w:type="dxa" w:w="3312"/>
          </w:tcPr>
          <w:p>
            <w:r>
              <w:t>Pasta da Data Base vazia.</w:t>
            </w:r>
          </w:p>
        </w:tc>
        <w:tc>
          <w:tcPr>
            <w:tcW w:type="dxa" w:w="3312"/>
          </w:tcPr>
          <w:p>
            <w:r>
              <w:t>Confirme os arquivos do dia / ajuste a data.</w:t>
            </w:r>
          </w:p>
        </w:tc>
      </w:tr>
      <w:tr>
        <w:tc>
          <w:tcPr>
            <w:tcW w:type="dxa" w:w="3312"/>
          </w:tcPr>
          <w:p>
            <w:r>
              <w:t>HTTP 400 — No CEM/EDG rows loaded</w:t>
            </w:r>
          </w:p>
        </w:tc>
        <w:tc>
          <w:tcPr>
            <w:tcW w:type="dxa" w:w="3312"/>
          </w:tcPr>
          <w:p>
            <w:r>
              <w:t>Valores de MtM antes da posição.</w:t>
            </w:r>
          </w:p>
        </w:tc>
        <w:tc>
          <w:tcPr>
            <w:tcW w:type="dxa" w:w="3312"/>
          </w:tcPr>
          <w:p>
            <w:r>
              <w:t>Importe a posição primeiro.</w:t>
            </w:r>
          </w:p>
        </w:tc>
      </w:tr>
      <w:tr>
        <w:tc>
          <w:tcPr>
            <w:tcW w:type="dxa" w:w="3312"/>
          </w:tcPr>
          <w:p>
            <w:r>
              <w:t>HTTP 400 — missing_accrual</w:t>
            </w:r>
          </w:p>
        </w:tc>
        <w:tc>
          <w:tcPr>
            <w:tcW w:type="dxa" w:w="3312"/>
          </w:tcPr>
          <w:p>
            <w:r>
              <w:t>Contratos sem fator (EOM).</w:t>
            </w:r>
          </w:p>
        </w:tc>
        <w:tc>
          <w:tcPr>
            <w:tcW w:type="dxa" w:w="3312"/>
          </w:tcPr>
          <w:p>
            <w:r>
              <w:t>Preencha os fatores e revalide.</w:t>
            </w:r>
          </w:p>
        </w:tc>
      </w:tr>
      <w:tr>
        <w:tc>
          <w:tcPr>
            <w:tcW w:type="dxa" w:w="3312"/>
          </w:tcPr>
          <w:p>
            <w:r>
              <w:t>HTTP 404 — No saved data for this date</w:t>
            </w:r>
          </w:p>
        </w:tc>
        <w:tc>
          <w:tcPr>
            <w:tcW w:type="dxa" w:w="3312"/>
          </w:tcPr>
          <w:p>
            <w:r>
              <w:t>Sem conjunto salvo para a data.</w:t>
            </w:r>
          </w:p>
        </w:tc>
        <w:tc>
          <w:tcPr>
            <w:tcW w:type="dxa" w:w="3312"/>
          </w:tcPr>
          <w:p>
            <w:r>
              <w:t>Rode a importação antes de validar/recon.</w:t>
            </w:r>
          </w:p>
        </w:tc>
      </w:tr>
      <w:tr>
        <w:tc>
          <w:tcPr>
            <w:tcW w:type="dxa" w:w="3312"/>
          </w:tcPr>
          <w:p>
            <w:r>
              <w:t>HTTP 500 — Failed to read/save/write</w:t>
            </w:r>
          </w:p>
        </w:tc>
        <w:tc>
          <w:tcPr>
            <w:tcW w:type="dxa" w:w="3312"/>
          </w:tcPr>
          <w:p>
            <w:r>
              <w:t>Falha interna (log/traceback).</w:t>
            </w:r>
          </w:p>
        </w:tc>
        <w:tc>
          <w:tcPr>
            <w:tcW w:type="dxa" w:w="3312"/>
          </w:tcPr>
          <w:p>
            <w:r>
              <w:t>Tente de novo; se persistir, Suporte.</w:t>
            </w:r>
          </w:p>
        </w:tc>
      </w:tr>
      <w:tr>
        <w:tc>
          <w:tcPr>
            <w:tcW w:type="dxa" w:w="3312"/>
          </w:tcPr>
          <w:p>
            <w:r>
              <w:t>Validação de formulário</w:t>
            </w:r>
          </w:p>
        </w:tc>
        <w:tc>
          <w:tcPr>
            <w:tcW w:type="dxa" w:w="3312"/>
          </w:tcPr>
          <w:p>
            <w:r>
              <w:t>Campo vazio/inválido (ex.: Strike).</w:t>
            </w:r>
          </w:p>
        </w:tc>
        <w:tc>
          <w:tcPr>
            <w:tcW w:type="dxa" w:w="3312"/>
          </w:tcPr>
          <w:p>
            <w:r>
              <w:t>Corrija (Editar) e reconfirme.</w:t>
            </w:r>
          </w:p>
        </w:tc>
      </w:tr>
      <w:tr>
        <w:tc>
          <w:tcPr>
            <w:tcW w:type="dxa" w:w="3312"/>
          </w:tcPr>
          <w:p>
            <w:r>
              <w:t>Advanced Export — "não consegui ler N dias" (</w:t>
            </w:r>
            <w:r>
              <w:rPr>
                <w:rFonts w:ascii="Consolas" w:hAnsi="Consolas"/>
                <w:color w:val="B03060"/>
              </w:rPr>
              <w:t>HTTP 404</w:t>
            </w:r>
            <w:r>
              <w:t>)</w:t>
            </w:r>
          </w:p>
        </w:tc>
        <w:tc>
          <w:tcPr>
            <w:tcW w:type="dxa" w:w="3312"/>
          </w:tcPr>
          <w:p>
            <w:r>
              <w:t>O intervalo pede um endereço que só existe na versão nova; o sistema ainda serve a anterior.</w:t>
            </w:r>
          </w:p>
        </w:tc>
        <w:tc>
          <w:tcPr>
            <w:tcW w:type="dxa" w:w="3312"/>
          </w:tcPr>
          <w:p>
            <w:r>
              <w:t xml:space="preserve">Peça o </w:t>
            </w:r>
            <w:r>
              <w:rPr>
                <w:b/>
              </w:rPr>
              <w:t>reinício</w:t>
            </w:r>
            <w:r>
              <w:t xml:space="preserve"> da instância e repita.</w:t>
            </w:r>
          </w:p>
        </w:tc>
      </w:tr>
      <w:tr>
        <w:tc>
          <w:tcPr>
            <w:tcW w:type="dxa" w:w="3312"/>
          </w:tcPr>
          <w:p>
            <w:r>
              <w:t>Advanced Export — "N dias sem arquivo"</w:t>
            </w:r>
          </w:p>
        </w:tc>
        <w:tc>
          <w:tcPr>
            <w:tcW w:type="dxa" w:w="3312"/>
          </w:tcPr>
          <w:p>
            <w:r>
              <w:t>Não é erro: dia sem arquivo gravado (feriado, ou anterior ao início da guarda).</w:t>
            </w:r>
          </w:p>
        </w:tc>
        <w:tc>
          <w:tcPr>
            <w:tcW w:type="dxa" w:w="3312"/>
          </w:tcPr>
          <w:p>
            <w:r>
              <w:t>Nenhuma — a planilha sai com os dias que existem.</w:t>
            </w:r>
          </w:p>
        </w:tc>
      </w:tr>
    </w:tbl>
    <w:p/>
    <w:p>
      <w:pPr>
        <w:ind w:left="360"/>
        <w:shd w:val="clear" w:fill="EAF2FB"/>
      </w:pPr>
      <w:r>
        <w:rPr>
          <w:color w:val="1A3A5A"/>
        </w:rPr>
        <w:t>Erros 400/404 são corrigíveis pelo operador; erros 500 vão para o Suporte de TI.</w:t>
      </w:r>
    </w:p>
    <w:p>
      <w:pPr>
        <w:pStyle w:val="Heading2"/>
      </w:pPr>
      <w:r>
        <w:rPr>
          <w:color w:val="0066CC"/>
          <w:sz w:val="30"/>
        </w:rPr>
        <w:t>7. Suporte</w:t>
      </w:r>
    </w:p>
    <w:p>
      <w:pPr>
        <w:ind w:left="360"/>
        <w:shd w:val="clear" w:fill="EAF2FB"/>
      </w:pPr>
      <w:r>
        <w:rPr>
          <w:color w:val="1A3A5A"/>
        </w:rPr>
        <w:t>Contatos fictícios — modelo para preenchimento.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Nível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Canal / Contato</w:t>
            </w:r>
          </w:p>
        </w:tc>
        <w:tc>
          <w:tcPr>
            <w:tcW w:type="dxa" w:w="3312"/>
            <w:shd w:val="clear" w:fill="0066CC"/>
          </w:tcPr>
          <w:p>
            <w:r>
              <w:rPr>
                <w:b/>
                <w:color w:val="FFFFFF"/>
              </w:rPr>
              <w:t>Horário</w:t>
            </w:r>
          </w:p>
        </w:tc>
      </w:tr>
      <w:tr>
        <w:tc>
          <w:tcPr>
            <w:tcW w:type="dxa" w:w="3312"/>
          </w:tcPr>
          <w:p>
            <w:r>
              <w:t>1 — Central de TI</w:t>
            </w:r>
          </w:p>
        </w:tc>
        <w:tc>
          <w:tcPr>
            <w:tcW w:type="dxa" w:w="3312"/>
          </w:tcPr>
          <w:p>
            <w:r>
              <w:t>portal.suporte.exemplo · +55 (11) 4000-0000</w:t>
            </w:r>
          </w:p>
        </w:tc>
        <w:tc>
          <w:tcPr>
            <w:tcW w:type="dxa" w:w="3312"/>
          </w:tcPr>
          <w:p>
            <w:r>
              <w:t>24x7</w:t>
            </w:r>
          </w:p>
        </w:tc>
      </w:tr>
      <w:tr>
        <w:tc>
          <w:tcPr>
            <w:tcW w:type="dxa" w:w="3312"/>
          </w:tcPr>
          <w:p>
            <w:r>
              <w:t>2 — Aplicação (OTC Tracker)</w:t>
            </w:r>
          </w:p>
        </w:tc>
        <w:tc>
          <w:tcPr>
            <w:tcW w:type="dxa" w:w="3312"/>
          </w:tcPr>
          <w:p>
            <w:r>
              <w:t>suporte.otctracker@exemplo</w:t>
            </w:r>
          </w:p>
        </w:tc>
        <w:tc>
          <w:tcPr>
            <w:tcW w:type="dxa" w:w="3312"/>
          </w:tcPr>
          <w:p>
            <w:r>
              <w:t>Dias úteis 07–20h</w:t>
            </w:r>
          </w:p>
        </w:tc>
      </w:tr>
      <w:tr>
        <w:tc>
          <w:tcPr>
            <w:tcW w:type="dxa" w:w="3312"/>
          </w:tcPr>
          <w:p>
            <w:r>
              <w:t>3 — Plantão Back Office OTC</w:t>
            </w:r>
          </w:p>
        </w:tc>
        <w:tc>
          <w:tcPr>
            <w:tcW w:type="dxa" w:w="3312"/>
          </w:tcPr>
          <w:p>
            <w:r>
              <w:t>plantao.otc@exemplo · +55 (11) 4000-0099</w:t>
            </w:r>
          </w:p>
        </w:tc>
        <w:tc>
          <w:tcPr>
            <w:tcW w:type="dxa" w:w="3312"/>
          </w:tcPr>
          <w:p>
            <w:r>
              <w:t>Dias úteis 06–22h</w:t>
            </w:r>
          </w:p>
        </w:tc>
      </w:tr>
    </w:tbl>
    <w:p/>
    <w:p>
      <w:r>
        <w:t>Ao abrir chamado, informe: rotina/tela, Data Base, mensagem de erro + horário, nome do arquivo.</w:t>
      </w:r>
    </w:p>
    <w:p>
      <w:pPr>
        <w:pStyle w:val="Heading2"/>
      </w:pPr>
      <w:r>
        <w:rPr>
          <w:color w:val="0066CC"/>
          <w:sz w:val="30"/>
        </w:rPr>
        <w:t>8. Manutenção do documento</w:t>
      </w:r>
    </w:p>
    <w:p>
      <w:pPr>
        <w:pStyle w:val="Heading3"/>
      </w:pPr>
      <w:r>
        <w:rPr>
          <w:sz w:val="25"/>
        </w:rPr>
        <w:t>8.1. Regerar o Word a partir deste `.md`</w:t>
      </w:r>
    </w:p>
    <w:p>
      <w:pPr>
        <w:shd w:val="clear" w:fill="F2F3F5"/>
      </w:pPr>
      <w:r>
        <w:rPr>
          <w:rFonts w:ascii="Consolas" w:hAnsi="Consolas"/>
          <w:sz w:val="18"/>
        </w:rPr>
        <w:t>pip install python-docx          # apenas na primeira vez</w:t>
        <w:br/>
        <w:t>python scripts/build_sop_docx.py  # gera SOP_PROCESSAMENTO_OTC.docx</w:t>
      </w:r>
    </w:p>
    <w:p>
      <w:r>
        <w:t xml:space="preserve">Sem argumentos ele gera o SOP. Com argumento, converte </w:t>
      </w:r>
      <w:r>
        <w:rPr>
          <w:b/>
        </w:rPr>
        <w:t>qualquer</w:t>
      </w:r>
      <w:r>
        <w:t xml:space="preserve"> Markdown do repositório — é assim que o Guia do Usuário é gerado, sem precisar de um segundo conversor:</w:t>
      </w:r>
    </w:p>
    <w:p>
      <w:pPr>
        <w:shd w:val="clear" w:fill="F2F3F5"/>
      </w:pPr>
      <w:r>
        <w:rPr>
          <w:rFonts w:ascii="Consolas" w:hAnsi="Consolas"/>
          <w:sz w:val="18"/>
        </w:rPr>
        <w:t>python scripts/build_sop_docx.py GUIA_DO_USUARIO_OTC_TRACKER.md</w:t>
      </w:r>
    </w:p>
    <w:p>
      <w:pPr>
        <w:pStyle w:val="Heading3"/>
      </w:pPr>
      <w:r>
        <w:rPr>
          <w:sz w:val="25"/>
        </w:rPr>
        <w:t>8.2. Recapturar as telas (quando um módulo novo ficar pronto)</w:t>
      </w:r>
    </w:p>
    <w:p>
      <w:r>
        <w:t xml:space="preserve">As telas foram capturadas com um runner local de desenvolvimento (Flask + Chromium headless) que injeta dados </w:t>
      </w:r>
      <w:r>
        <w:rPr>
          <w:b/>
        </w:rPr>
        <w:t>fictícios</w:t>
      </w:r>
      <w:r>
        <w:t xml:space="preserve"> via mock. O runner e os scripts de captura </w:t>
      </w:r>
      <w:r>
        <w:rPr>
          <w:b/>
        </w:rPr>
        <w:t>não ficam no repositório</w:t>
      </w:r>
      <w:r>
        <w:t xml:space="preserve"> (contêm um stub de login de desenvolvimento que nunca deve ser commitado). Fluxo resumido:</w:t>
      </w:r>
    </w:p>
    <w:p>
      <w:pPr>
        <w:pStyle w:val="ListNumber"/>
      </w:pPr>
      <w:r>
        <w:t>Suba o app localmente em modo dev e autentique com o bypass local.</w:t>
      </w:r>
    </w:p>
    <w:p>
      <w:pPr>
        <w:pStyle w:val="ListNumber"/>
      </w:pPr>
      <w:r>
        <w:t xml:space="preserve">Rode o capturador (Playwright/Chromium) apontando para a nova rota; ele intercepta as chamadas </w:t>
      </w:r>
      <w:r>
        <w:rPr>
          <w:rFonts w:ascii="Consolas" w:hAnsi="Consolas"/>
          <w:color w:val="B03060"/>
        </w:rPr>
        <w:t>/api/**</w:t>
      </w:r>
      <w:r>
        <w:t xml:space="preserve"> e injeta linhas fictícias reaproveitando as colunas reais.</w:t>
      </w:r>
    </w:p>
    <w:p>
      <w:pPr>
        <w:pStyle w:val="ListNumber"/>
      </w:pPr>
      <w:r>
        <w:t xml:space="preserve">Salve o PNG em </w:t>
      </w:r>
      <w:r>
        <w:rPr>
          <w:rFonts w:ascii="Consolas" w:hAnsi="Consolas"/>
          <w:color w:val="B03060"/>
        </w:rPr>
        <w:t>docs/sop-screenshots/&lt;rota-com-hifens&gt;.png</w:t>
      </w:r>
      <w:r>
        <w:t>.</w:t>
      </w:r>
    </w:p>
    <w:p>
      <w:r>
        <w:rPr>
          <w:b/>
        </w:rPr>
        <w:t>Duas armadilhas conhecidas (30/07/2026):</w:t>
      </w:r>
    </w:p>
    <w:p>
      <w:pPr>
        <w:pStyle w:val="ListBullet"/>
      </w:pPr>
      <w:r>
        <w:rPr>
          <w:b/>
        </w:rPr>
        <w:t>As telas de New Deals saem vazias.</w:t>
      </w:r>
      <w:r>
        <w:t xml:space="preserve"> O mock não cobre os endpoints dessas páginas — elas carregam por </w:t>
      </w:r>
      <w:r>
        <w:rPr>
          <w:rFonts w:ascii="Consolas" w:hAnsi="Consolas"/>
          <w:color w:val="B03060"/>
        </w:rPr>
        <w:t>POST /api/new-deals/&lt;produto&gt;/cache/search</w:t>
      </w:r>
      <w:r>
        <w:t xml:space="preserve">. Para capturá-las com conteúdo, popule o </w:t>
      </w:r>
      <w:r>
        <w:rPr>
          <w:b/>
        </w:rPr>
        <w:t>cache do dia</w:t>
      </w:r>
      <w:r>
        <w:t xml:space="preserve"> com operações fictícias e deixe a página carregar sozinha; o Monitor se popula junto, porque lê os mesmos arquivos. Com dados fictícios, as linhas aparecem marcadas como </w:t>
      </w:r>
      <w:r>
        <w:rPr>
          <w:b/>
        </w:rPr>
        <w:t>Missing Counterparty</w:t>
      </w:r>
      <w:r>
        <w:t xml:space="preserve"> — é preciso cadastrar as contrapartes fictícias no </w:t>
      </w:r>
      <w:r>
        <w:rPr>
          <w:rFonts w:ascii="Consolas" w:hAnsi="Consolas"/>
          <w:color w:val="B03060"/>
        </w:rPr>
        <w:t>RefData.json</w:t>
      </w:r>
      <w:r>
        <w:t xml:space="preserve"> </w:t>
      </w:r>
      <w:r>
        <w:rPr>
          <w:b/>
        </w:rPr>
        <w:t>temporariamente</w:t>
      </w:r>
      <w:r>
        <w:t xml:space="preserve"> e restaurar o arquivo depois (conferir por </w:t>
      </w:r>
      <w:r>
        <w:rPr>
          <w:rFonts w:ascii="Consolas" w:hAnsi="Consolas"/>
          <w:color w:val="B03060"/>
        </w:rPr>
        <w:t>md5</w:t>
      </w:r>
      <w:r>
        <w:t xml:space="preserve"> </w:t>
      </w:r>
      <w:r>
        <w:rPr>
          <w:b/>
        </w:rPr>
        <w:t>e</w:t>
      </w:r>
      <w:r>
        <w:t xml:space="preserve"> </w:t>
      </w:r>
      <w:r>
        <w:rPr>
          <w:rFonts w:ascii="Consolas" w:hAnsi="Consolas"/>
          <w:color w:val="B03060"/>
        </w:rPr>
        <w:t>git status</w:t>
      </w:r>
      <w:r>
        <w:t>, pois ele é versionado).</w:t>
      </w:r>
    </w:p>
    <w:p>
      <w:pPr>
        <w:pStyle w:val="ListBullet"/>
      </w:pPr>
      <w:r>
        <w:rPr>
          <w:b/>
        </w:rPr>
        <w:t>`Docs/` × `docs/`.</w:t>
      </w:r>
      <w:r>
        <w:t xml:space="preserve"> O repositório tem as duas grafias. Os prints ficam em </w:t>
      </w:r>
      <w:r>
        <w:rPr>
          <w:b/>
        </w:rPr>
        <w:t>`docs/` minúsculo</w:t>
      </w:r>
      <w:r>
        <w:t xml:space="preserve">, mas o diretório em disco chama-se </w:t>
      </w:r>
      <w:r>
        <w:rPr>
          <w:rFonts w:ascii="Consolas" w:hAnsi="Consolas"/>
          <w:color w:val="B03060"/>
        </w:rPr>
        <w:t>Docs</w:t>
      </w:r>
      <w:r>
        <w:t xml:space="preserve">, então o </w:t>
      </w:r>
      <w:r>
        <w:rPr>
          <w:rFonts w:ascii="Consolas" w:hAnsi="Consolas"/>
          <w:color w:val="B03060"/>
        </w:rPr>
        <w:t>git add</w:t>
      </w:r>
      <w:r>
        <w:t xml:space="preserve"> grava com maiúscula e as imagens somem do documento fora do macOS. Use </w:t>
      </w:r>
      <w:r>
        <w:rPr>
          <w:rFonts w:ascii="Consolas" w:hAnsi="Consolas"/>
          <w:color w:val="B03060"/>
        </w:rPr>
        <w:t>git -c core.ignorecase=false add docs/sop-screenshots/</w:t>
      </w:r>
      <w:r>
        <w:t xml:space="preserve"> e confira o casing no índice antes de commitar.</w:t>
      </w:r>
    </w:p>
    <w:p>
      <w:pPr>
        <w:pStyle w:val="ListNumber"/>
      </w:pPr>
      <w:r>
        <w:t>Inclua o módulo na seção 5 (bloco-modelo abaixo) e regere o Word.</w:t>
      </w:r>
    </w:p>
    <w:p>
      <w:pPr>
        <w:pStyle w:val="Heading3"/>
      </w:pPr>
      <w:r>
        <w:rPr>
          <w:sz w:val="25"/>
        </w:rPr>
        <w:t>8.3. Bloco-modelo para incluir um módulo</w:t>
      </w:r>
    </w:p>
    <w:p>
      <w:r>
        <w:t>Copie o trecho abaixo, cole na subseção correta da seção 5 e preencha:</w:t>
      </w:r>
    </w:p>
    <w:p>
      <w:pPr>
        <w:shd w:val="clear" w:fill="F2F3F5"/>
      </w:pPr>
      <w:r>
        <w:rPr>
          <w:rFonts w:ascii="Consolas" w:hAnsi="Consolas"/>
          <w:sz w:val="18"/>
        </w:rPr>
        <w:t>#### &lt;Título do Módulo&gt;</w:t>
        <w:br/>
        <w:br/>
        <w:t>&lt;Descrição operacional: o que a tela faz, o que o operador preenche/importa/valida, e o que o botão principal gera.&gt;</w:t>
        <w:br/>
        <w:br/>
        <w:t>![&lt;Título do Módulo&gt;](docs/sop-screenshots/&lt;nome-do-arquivo&gt;.png)</w:t>
      </w:r>
    </w:p>
    <w:p>
      <w:pPr>
        <w:ind w:left="360"/>
        <w:shd w:val="clear" w:fill="EAF2FB"/>
      </w:pPr>
      <w:r>
        <w:rPr>
          <w:color w:val="1A3A5A"/>
        </w:rPr>
        <w:t xml:space="preserve">Ao trocar/incluir telas, garanta que os dados exibidos sejam </w:t>
      </w:r>
      <w:r>
        <w:rPr>
          <w:b/>
          <w:color w:val="1A3A5A"/>
        </w:rPr>
        <w:t>fictícios</w:t>
      </w:r>
      <w:r>
        <w:rPr>
          <w:color w:val="1A3A5A"/>
        </w:rPr>
        <w:t xml:space="preserve"> — nenhum dado real de cliente, servidor, conta ou credencial pode aparecer nas imagens.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