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66CC"/>
          <w:sz w:val="44"/>
        </w:rPr>
        <w:t>PROCEDIMENTO OPERACIONAL PADRÃO (SOP)</w:t>
      </w:r>
    </w:p>
    <w:p>
      <w:r>
        <w:rPr>
          <w:b/>
          <w:i w:val="0"/>
          <w:color w:val="1A1A1A"/>
          <w:sz w:val="26"/>
        </w:rPr>
        <w:t>Processamento de Operações de Derivativos OTC — Sistema OTC Tracker</w:t>
      </w:r>
    </w:p>
    <w:p>
      <w:r>
        <w:rPr>
          <w:b w:val="0"/>
          <w:i w:val="0"/>
        </w:rPr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Empresa</w:t>
            </w:r>
          </w:p>
        </w:tc>
        <w:tc>
          <w:tcPr>
            <w:tcW w:type="dxa" w:w="4968"/>
          </w:tcPr>
          <w:p>
            <w:r>
              <w:t>JPMorgan Chase &amp; Co. — Back Office de Derivativos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4968"/>
          </w:tcPr>
          <w:p>
            <w:r>
              <w:t>OTC Tracker — Plataforma de Back Office de Derivativos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968"/>
          </w:tcPr>
          <w:p>
            <w:r>
              <w:t>SOP-OTC-001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Versão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Classificação</w:t>
            </w:r>
          </w:p>
        </w:tc>
        <w:tc>
          <w:tcPr>
            <w:tcW w:type="dxa" w:w="4968"/>
          </w:tcPr>
          <w:p>
            <w:r>
              <w:t>Uso Interno — Operações de Back Office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de emissão</w:t>
            </w:r>
          </w:p>
        </w:tc>
        <w:tc>
          <w:tcPr>
            <w:tcW w:type="dxa" w:w="4968"/>
          </w:tcPr>
          <w:p>
            <w:r>
              <w:t>08/07/2026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Público-alvo</w:t>
            </w:r>
          </w:p>
        </w:tc>
        <w:tc>
          <w:tcPr>
            <w:tcW w:type="dxa" w:w="4968"/>
          </w:tcPr>
          <w:p>
            <w:r>
              <w:t>Operador / Analista de Back Office de Derivativos OTC</w:t>
            </w:r>
          </w:p>
        </w:tc>
      </w:tr>
    </w:tbl>
    <w:p>
      <w:r>
        <w:rPr>
          <w:b w:val="0"/>
          <w:i w:val="0"/>
        </w:rPr>
      </w:r>
    </w:p>
    <w:p>
      <w:r>
        <w:rPr>
          <w:b w:val="0"/>
          <w:i/>
          <w:color w:val="555555"/>
        </w:rPr>
        <w:t>Aviso de privacidade: todas as telas deste documento são renderizações reais do sistema OTC Tracker. Os dados exibidos nos exemplos (contrapartes, CNPJs, contas, valores e datas) são inteiramente FICTÍCIOS, gerados apenas para ilustração — nenhum dado real de cliente, servidor ou credencial é reproduzido.</w:t>
      </w:r>
    </w:p>
    <w:p>
      <w:r>
        <w:br w:type="page"/>
      </w:r>
    </w:p>
    <w:p>
      <w:pPr>
        <w:pStyle w:val="Heading1"/>
      </w:pPr>
      <w:r>
        <w:rPr>
          <w:color w:val="0066CC"/>
        </w:rPr>
        <w:t>1. Índice</w:t>
      </w:r>
    </w:p>
    <w:p>
      <w:pPr>
        <w:pStyle w:val="ListBullet"/>
      </w:pPr>
      <w:r>
        <w:t>2. Visão Geral</w:t>
      </w:r>
    </w:p>
    <w:p>
      <w:pPr>
        <w:pStyle w:val="ListBullet"/>
      </w:pPr>
      <w:r>
        <w:t>3. Conceitos-Chave (Data Base, campos validados, ciclo de vida)</w:t>
      </w:r>
    </w:p>
    <w:p>
      <w:pPr>
        <w:pStyle w:val="ListBullet"/>
      </w:pPr>
      <w:r>
        <w:t>4. Passo a Passo Operacional (fluxo do dia)</w:t>
      </w:r>
    </w:p>
    <w:p>
      <w:pPr>
        <w:pStyle w:val="ListBullet"/>
      </w:pPr>
      <w:r>
        <w:t>5. Referência de Módulos — na ordem do menu lateral (sidebar)</w:t>
      </w:r>
    </w:p>
    <w:p>
      <w:pPr>
        <w:pStyle w:val="ListBullet"/>
      </w:pPr>
      <w:r>
        <w:t>6. Tratamento de Exceções</w:t>
      </w:r>
    </w:p>
    <w:p>
      <w:pPr>
        <w:pStyle w:val="ListBullet"/>
      </w:pPr>
      <w:r>
        <w:t>7. Suporte</w:t>
      </w:r>
    </w:p>
    <w:p>
      <w:r>
        <w:br w:type="page"/>
      </w:r>
    </w:p>
    <w:p>
      <w:pPr>
        <w:pStyle w:val="Heading1"/>
      </w:pPr>
      <w:r>
        <w:rPr>
          <w:color w:val="0066CC"/>
        </w:rPr>
        <w:t>2. Visão Geral</w:t>
      </w:r>
    </w:p>
    <w:p>
      <w:r>
        <w:rPr>
          <w:b w:val="0"/>
          <w:i w:val="0"/>
        </w:rPr>
        <w:t>O OTC Tracker é a plataforma de Back Office que consolida, valida, registra e concilia operações de Derivativos de Balcão (OTC) — NDF, Opções (FXO e Commodities), Swap e COE — ao longo do ciclo diário de liquidação. O operador não digita cada contrato: o sistema importa os arquivos de posição, aplica as regras de negócio, gera os arquivos de registro no layout da câmara e permite a conciliação (recon) contra os arquivos de retorno.</w:t>
      </w:r>
    </w:p>
    <w:p>
      <w:r>
        <w:rPr>
          <w:b w:val="0"/>
          <w:i w:val="0"/>
        </w:rPr>
        <w:t>Toda a lógica roda no servidor por rotas de API dedicadas; cada tela dispara uma dessas rotas e exibe o resultado (sucesso, contadores ou uma mensagem de erro específica). O processamento é sempre ancorado a uma data de referência — a Data Base — de forma que reprocessar um dia anterior nunca contamina o dia corrente.</w:t>
      </w:r>
    </w:p>
    <w:p>
      <w:pPr>
        <w:pStyle w:val="Heading1"/>
      </w:pPr>
      <w:r>
        <w:rPr>
          <w:color w:val="0066CC"/>
        </w:rPr>
        <w:t>3. Conceitos-Chave</w:t>
      </w:r>
    </w:p>
    <w:p>
      <w:pPr>
        <w:pStyle w:val="Heading2"/>
      </w:pPr>
      <w:r>
        <w:rPr>
          <w:color w:val="1A1A1A"/>
          <w:sz w:val="26"/>
        </w:rPr>
        <w:t>3.1. A Data Base</w:t>
      </w:r>
    </w:p>
    <w:p>
      <w:pPr>
        <w:pStyle w:val="ListBullet"/>
      </w:pPr>
      <w:r>
        <w:t>Rotulada nas telas como "Reference date" / "Data de referência", é o eixo de todo o processamento.</w:t>
      </w:r>
    </w:p>
    <w:p>
      <w:pPr>
        <w:pStyle w:val="ListBullet"/>
      </w:pPr>
      <w:r>
        <w:t>Se o campo é deixado em branco, o sistema assume automaticamente o dia útil anterior pelo calendário de feriados (ANBIMA/câmara) — o operador não precisa calcular o dia útil.</w:t>
      </w:r>
    </w:p>
    <w:p>
      <w:pPr>
        <w:pStyle w:val="ListBullet"/>
      </w:pPr>
      <w:r>
        <w:t>Arquivos importados e gerados são organizados em pastas por data (AAAA / MM. Mês / DD), garantindo rastreabilidade.</w:t>
      </w:r>
    </w:p>
    <w:p>
      <w:pPr>
        <w:pStyle w:val="ListBullet"/>
      </w:pPr>
      <w:r>
        <w:t>Reprocessar uma Data Base sobrescreve apenas a porção correspondente do conjunto salvo daquele dia.</w:t>
      </w:r>
    </w:p>
    <w:p>
      <w:pPr>
        <w:pStyle w:val="Heading2"/>
      </w:pPr>
      <w:r>
        <w:rPr>
          <w:color w:val="1A1A1A"/>
          <w:sz w:val="26"/>
        </w:rPr>
        <w:t>3.2. Campos validados em cada operação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Papel na validação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Trade Date</w:t>
            </w:r>
          </w:p>
        </w:tc>
        <w:tc>
          <w:tcPr>
            <w:tcW w:type="dxa" w:w="4968"/>
          </w:tcPr>
          <w:p>
            <w:r>
              <w:t>Data de negociação; agrupa os contratos por dia. Formatos aceitos: AAAA-MM-DD, DD/MM/AAAA.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Maturity / Expiry Date</w:t>
            </w:r>
          </w:p>
        </w:tc>
        <w:tc>
          <w:tcPr>
            <w:tcW w:type="dxa" w:w="4968"/>
          </w:tcPr>
          <w:p>
            <w:r>
              <w:t>Vencimento; na posição viva, contratos vencidos são descartados da contagem.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Strike Rate</w:t>
            </w:r>
          </w:p>
        </w:tc>
        <w:tc>
          <w:tcPr>
            <w:tcW w:type="dxa" w:w="4968"/>
          </w:tcPr>
          <w:p>
            <w:r>
              <w:t>Preço de exercício das opções; strike ausente em opção bloqueia a geração do arquivo.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Notional</w:t>
            </w:r>
          </w:p>
        </w:tc>
        <w:tc>
          <w:tcPr>
            <w:tcW w:type="dxa" w:w="4968"/>
          </w:tcPr>
          <w:p>
            <w:r>
              <w:t>Valor de referência (Total/Mínimo/Máximo); convertido do formato BR (vírgula) para numérico.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 / Data de Referência MTM</w:t>
            </w:r>
          </w:p>
        </w:tc>
        <w:tc>
          <w:tcPr>
            <w:tcW w:type="dxa" w:w="4968"/>
          </w:tcPr>
          <w:p>
            <w:r>
              <w:t>Data-âncora; se ausente, assume o dia útil anterior.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Classe do Ativo Subjacente</w:t>
            </w:r>
          </w:p>
        </w:tc>
        <w:tc>
          <w:tcPr>
            <w:tcW w:type="dxa" w:w="4968"/>
          </w:tcPr>
          <w:p>
            <w:r>
              <w:t>Classifica a posição (ex.: Taxas de Câmbio, Commodities) e alimenta os widgets.</w:t>
            </w:r>
          </w:p>
        </w:tc>
      </w:tr>
    </w:tbl>
    <w:p>
      <w:pPr>
        <w:pStyle w:val="Heading2"/>
      </w:pPr>
      <w:r>
        <w:rPr>
          <w:color w:val="1A1A1A"/>
          <w:sz w:val="26"/>
        </w:rPr>
        <w:t>3.3. Ciclo de vida de uma operação</w:t>
      </w:r>
    </w:p>
    <w:p>
      <w:r>
        <w:rPr>
          <w:b/>
          <w:i w:val="0"/>
          <w:color w:val="1A1A1A"/>
        </w:rPr>
        <w:t>Definir Data Base  →  Importar arquivo de posição  →  Validar campos e regras  →  Gerar arquivo de registro (câmara)  →  Conciliar (recon) com o retorno  →  Encerrar processo (End Process).</w:t>
      </w:r>
    </w:p>
    <w:p>
      <w:r>
        <w:br w:type="page"/>
      </w:r>
    </w:p>
    <w:p>
      <w:pPr>
        <w:pStyle w:val="Heading1"/>
      </w:pPr>
      <w:r>
        <w:rPr>
          <w:color w:val="0066CC"/>
        </w:rPr>
        <w:t>4. Passo a Passo Operacional (fluxo do dia)</w:t>
      </w:r>
    </w:p>
    <w:p>
      <w:pPr>
        <w:pStyle w:val="Heading2"/>
      </w:pPr>
      <w:r>
        <w:rPr>
          <w:color w:val="1A1A1A"/>
          <w:sz w:val="26"/>
        </w:rPr>
        <w:t>Passo 1 — Autenticar e definir a Data Base</w:t>
      </w:r>
    </w:p>
    <w:p>
      <w:r>
        <w:rPr>
          <w:b w:val="0"/>
          <w:i w:val="0"/>
        </w:rPr>
        <w:t>Faça login (com verificação em duas etapas) e abra o Painel de Controle. Em cada rotina, defina a "Reference date". Deixe em branco apenas para processar automaticamente o dia útil anterior. Exemplo fictício: para reprocessar 02/03/2026 da contraparte AURORA TRADING LTDA, selecione essa data.</w:t>
      </w:r>
    </w:p>
    <w:p>
      <w:r>
        <w:drawing>
          <wp:inline xmlns:a="http://schemas.openxmlformats.org/drawingml/2006/main" xmlns:pic="http://schemas.openxmlformats.org/drawingml/2006/picture">
            <wp:extent cx="6035040" cy="42396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-pan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39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Tela real do OTC Tracker — dados fictícios.</w:t>
      </w:r>
    </w:p>
    <w:p>
      <w:pPr>
        <w:pStyle w:val="Heading2"/>
      </w:pPr>
      <w:r>
        <w:rPr>
          <w:color w:val="1A1A1A"/>
          <w:sz w:val="26"/>
        </w:rPr>
        <w:t>Passo 2 — Importar / salvar os arquivos de posição</w:t>
      </w:r>
    </w:p>
    <w:p>
      <w:r>
        <w:rPr>
          <w:b w:val="0"/>
          <w:i w:val="0"/>
        </w:rPr>
        <w:t>Na tela do produto (ex.: NDF Cockpit, OTM Settlements, MtM Swap), arraste os arquivos na dropzone ou importe da pasta. O sistema reconhece o tipo pelo nome e exibe os contadores por categoria.</w:t>
      </w:r>
    </w:p>
    <w:p>
      <w:r>
        <w:drawing>
          <wp:inline xmlns:a="http://schemas.openxmlformats.org/drawingml/2006/main" xmlns:pic="http://schemas.openxmlformats.org/drawingml/2006/picture">
            <wp:extent cx="6035040" cy="44206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df-cockp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20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Tela real do OTC Tracker — dados fictícios.</w:t>
      </w:r>
    </w:p>
    <w:p>
      <w:pPr>
        <w:pStyle w:val="Heading2"/>
      </w:pPr>
      <w:r>
        <w:rPr>
          <w:color w:val="1A1A1A"/>
          <w:sz w:val="26"/>
        </w:rPr>
        <w:t>Passo 3 — Validar os campos e classificar a posição</w:t>
      </w:r>
    </w:p>
    <w:p>
      <w:r>
        <w:rPr>
          <w:b w:val="0"/>
          <w:i w:val="0"/>
        </w:rPr>
        <w:t>Revise as linhas (Trade Date, Vencimento, Strike, Notional, Classe). Use Adicionar/Editar/Remover e Confirmar. Os cards (ex.: Vanilla / Other Publisher / T+0 / Total no NDF Summary) mostram a classificação.</w:t>
      </w:r>
    </w:p>
    <w:p>
      <w:r>
        <w:drawing>
          <wp:inline xmlns:a="http://schemas.openxmlformats.org/drawingml/2006/main" xmlns:pic="http://schemas.openxmlformats.org/drawingml/2006/picture">
            <wp:extent cx="6035040" cy="37719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df-summ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Tela real do OTC Tracker — dados fictícios.</w:t>
      </w:r>
    </w:p>
    <w:p>
      <w:pPr>
        <w:pStyle w:val="Heading2"/>
      </w:pPr>
      <w:r>
        <w:rPr>
          <w:color w:val="1A1A1A"/>
          <w:sz w:val="26"/>
        </w:rPr>
        <w:t>Passo 4 — Conferir a posição viva</w:t>
      </w:r>
    </w:p>
    <w:p>
      <w:r>
        <w:rPr>
          <w:b w:val="0"/>
          <w:i w:val="0"/>
        </w:rPr>
        <w:t>Nas telas de Live Position (somente leitura), confira a posição em custódia na Data Base. No NDF, os widgets Vanilla / Other Publisher / T+0 / Commodities / Total resumem a carteira.</w:t>
      </w:r>
    </w:p>
    <w:p>
      <w:r>
        <w:drawing>
          <wp:inline xmlns:a="http://schemas.openxmlformats.org/drawingml/2006/main" xmlns:pic="http://schemas.openxmlformats.org/drawingml/2006/picture">
            <wp:extent cx="6035040" cy="385865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position-nd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58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Tela real do OTC Tracker — dados fictícios.</w:t>
      </w:r>
    </w:p>
    <w:p>
      <w:pPr>
        <w:pStyle w:val="Heading2"/>
      </w:pPr>
      <w:r>
        <w:rPr>
          <w:color w:val="1A1A1A"/>
          <w:sz w:val="26"/>
        </w:rPr>
        <w:t>Passo 5 — Processar, conciliar e encerrar</w:t>
      </w:r>
    </w:p>
    <w:p>
      <w:r>
        <w:rPr>
          <w:b w:val="0"/>
          <w:i w:val="0"/>
        </w:rPr>
        <w:t>Gere o arquivo de registro (Process / Send batch), importe o retorno da câmara e rode o Recon; trate as divergências (OK/Check) e acione End Process. No MtM Swap todo esse ciclo está em uma tela.</w:t>
      </w:r>
    </w:p>
    <w:p>
      <w:r>
        <w:drawing>
          <wp:inline xmlns:a="http://schemas.openxmlformats.org/drawingml/2006/main" xmlns:pic="http://schemas.openxmlformats.org/drawingml/2006/picture">
            <wp:extent cx="6035040" cy="65253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m-sw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52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Tela real do OTC Tracker — dados fictícios.</w:t>
      </w:r>
    </w:p>
    <w:p>
      <w:r>
        <w:br w:type="page"/>
      </w:r>
    </w:p>
    <w:p>
      <w:pPr>
        <w:pStyle w:val="Heading1"/>
      </w:pPr>
      <w:r>
        <w:rPr>
          <w:color w:val="0066CC"/>
        </w:rPr>
        <w:t>5. Referência de Módulos (na ordem do menu lateral)</w:t>
      </w:r>
    </w:p>
    <w:p>
      <w:r>
        <w:rPr>
          <w:b w:val="0"/>
          <w:i/>
          <w:color w:val="555555"/>
        </w:rPr>
        <w:t>Esta seção percorre, na ordem do menu lateral (sidebar), todos os módulos desenvolvidos do OTC Tracker. Cada módulo traz a tela real renderizada e uma descrição operacional. As telas com dados exibem valores fictícios.</w:t>
      </w:r>
    </w:p>
    <w:p>
      <w:pPr>
        <w:pStyle w:val="Heading2"/>
      </w:pPr>
      <w:r>
        <w:rPr>
          <w:color w:val="0066CC"/>
          <w:sz w:val="28"/>
        </w:rPr>
        <w:t>Navegação (Main)</w:t>
      </w:r>
    </w:p>
    <w:p>
      <w:pPr>
        <w:pStyle w:val="Heading3"/>
      </w:pPr>
      <w:r>
        <w:rPr>
          <w:color w:val="1A1A1A"/>
          <w:sz w:val="24"/>
        </w:rPr>
        <w:t>Dashboard</w:t>
      </w:r>
    </w:p>
    <w:p>
      <w:r>
        <w:rPr>
          <w:b w:val="0"/>
          <w:i w:val="0"/>
        </w:rPr>
        <w:t>Tela inicial do operador. Consolida os KPIs do dia — número de deals de NDF, Opções, Swap e Total — além da distribuição por produto, do fluxo mensal de negócios, dos rankings Top 5 (clientes, produtos e ativos subjacentes), da posição viva por produto e do Settlement Forecast. É somente leitura e serve como ponto de partida diário.</w:t>
      </w:r>
    </w:p>
    <w:p>
      <w:r>
        <w:drawing>
          <wp:inline xmlns:a="http://schemas.openxmlformats.org/drawingml/2006/main" xmlns:pic="http://schemas.openxmlformats.org/drawingml/2006/picture">
            <wp:extent cx="6035040" cy="812090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120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OTC Tracker · Dashboard — dados fictícios.</w:t>
      </w:r>
    </w:p>
    <w:p>
      <w:pPr>
        <w:pStyle w:val="Heading3"/>
      </w:pPr>
      <w:r>
        <w:rPr>
          <w:color w:val="1A1A1A"/>
          <w:sz w:val="24"/>
        </w:rPr>
        <w:t>Sobre o Sistema</w:t>
      </w:r>
    </w:p>
    <w:p>
      <w:r>
        <w:rPr>
          <w:b w:val="0"/>
          <w:i w:val="0"/>
        </w:rPr>
        <w:t>Página institucional com a identificação do sistema OTC Tracker e informações gerais de versão e propósito.</w:t>
      </w:r>
    </w:p>
    <w:p>
      <w:r>
        <w:drawing>
          <wp:inline xmlns:a="http://schemas.openxmlformats.org/drawingml/2006/main" xmlns:pic="http://schemas.openxmlformats.org/drawingml/2006/picture">
            <wp:extent cx="6035040" cy="1971572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o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971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OTC Tracker · Sobre o Sistema — dados fictícios.</w:t>
      </w:r>
    </w:p>
    <w:p>
      <w:pPr>
        <w:pStyle w:val="Heading2"/>
      </w:pPr>
      <w:r>
        <w:rPr>
          <w:color w:val="0066CC"/>
          <w:sz w:val="28"/>
        </w:rPr>
        <w:t>Aplicações — Daily Settlement (Apps)</w:t>
      </w:r>
    </w:p>
    <w:p>
      <w:pPr>
        <w:pStyle w:val="Heading3"/>
      </w:pPr>
      <w:r>
        <w:rPr>
          <w:color w:val="1A1A1A"/>
          <w:sz w:val="24"/>
        </w:rPr>
        <w:t>Calendário de Feriados</w:t>
      </w:r>
    </w:p>
    <w:p>
      <w:r>
        <w:rPr>
          <w:b w:val="0"/>
          <w:i w:val="0"/>
        </w:rPr>
        <w:t>Calendário de feriados (base ANBIMA / câmara) que alimenta o cálculo de dias úteis. É a referência que o sistema usa para resolver automaticamente a Data Base (dia útil anterior) e para projetar liquidações.</w:t>
      </w:r>
    </w:p>
    <w:p>
      <w:r>
        <w:drawing>
          <wp:inline xmlns:a="http://schemas.openxmlformats.org/drawingml/2006/main" xmlns:pic="http://schemas.openxmlformats.org/drawingml/2006/picture">
            <wp:extent cx="6035040" cy="390768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lidays-calend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7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OTC Tracker · Calendário de Feriados — dados fictícios.</w:t>
      </w:r>
    </w:p>
    <w:p>
      <w:pPr>
        <w:pStyle w:val="Heading3"/>
      </w:pPr>
      <w:r>
        <w:rPr>
          <w:color w:val="1A1A1A"/>
          <w:sz w:val="24"/>
        </w:rPr>
        <w:t>Interpretador de Arquivos</w:t>
      </w:r>
    </w:p>
    <w:p>
      <w:r>
        <w:rPr>
          <w:b w:val="0"/>
          <w:i w:val="0"/>
        </w:rPr>
        <w:t>Ferramenta de apoio para inspecionar e interpretar arquivos de posição e mensagens (planilhas, .msg) antes do processamento, ajudando o operador a validar o conteúdo bruto recebido.</w:t>
      </w:r>
    </w:p>
    <w:p>
      <w:r>
        <w:drawing>
          <wp:inline xmlns:a="http://schemas.openxmlformats.org/drawingml/2006/main" xmlns:pic="http://schemas.openxmlformats.org/drawingml/2006/picture">
            <wp:extent cx="6035040" cy="37719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-interpret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OTC Tracker · Interpretador de Arquivos — dados fictícios.</w:t>
      </w:r>
    </w:p>
    <w:p>
      <w:pPr>
        <w:pStyle w:val="Heading3"/>
      </w:pPr>
      <w:r>
        <w:rPr>
          <w:color w:val="1A1A1A"/>
          <w:sz w:val="24"/>
        </w:rPr>
        <w:t>Painel de Controle</w:t>
      </w:r>
    </w:p>
    <w:p>
      <w:r>
        <w:rPr>
          <w:b w:val="0"/>
          <w:i w:val="0"/>
        </w:rPr>
        <w:t>Hub das rotinas operacionais diárias. Contém "Save CETIP Files" (lê os arquivos brutos da B3, renomeia no padrão e salva nas pastas de liquidação), "Save Daily Settlement Files" (dropzone que processa todos os arquivos do dia em JSON), "Settlement Forecast" (projeta as liquidações dos próximos dias úteis e envia por e-mail) e "Update Contacts". Em cada cartão o operador define a Reference date (Data Base).</w:t>
      </w:r>
    </w:p>
    <w:p>
      <w:r>
        <w:drawing>
          <wp:inline xmlns:a="http://schemas.openxmlformats.org/drawingml/2006/main" xmlns:pic="http://schemas.openxmlformats.org/drawingml/2006/picture">
            <wp:extent cx="6035040" cy="423961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-pan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39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OTC Tracker · Painel de Controle — dados fictícios.</w:t>
      </w:r>
    </w:p>
    <w:p>
      <w:pPr>
        <w:pStyle w:val="Heading3"/>
      </w:pPr>
      <w:r>
        <w:rPr>
          <w:color w:val="1A1A1A"/>
          <w:sz w:val="24"/>
        </w:rPr>
        <w:t>NDF — Summary</w:t>
      </w:r>
    </w:p>
    <w:p>
      <w:r>
        <w:rPr>
          <w:b w:val="0"/>
          <w:i w:val="0"/>
        </w:rPr>
        <w:t>Batch de liquidação de NDF do dia. Os cards Vanilla / Other Publisher / T+0 / Total classificam a posição. As grades editáveis "Settlement Summary" e "Trade Level" permitem adicionar, editar, remover e confirmar linhas antes de gerar o batch.</w:t>
      </w:r>
    </w:p>
    <w:p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df-summ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OTC Tracker · NDF — Summary — dados fictícios.</w:t>
      </w:r>
    </w:p>
    <w:p>
      <w:pPr>
        <w:pStyle w:val="Heading3"/>
      </w:pPr>
      <w:r>
        <w:rPr>
          <w:color w:val="1A1A1A"/>
          <w:sz w:val="24"/>
        </w:rPr>
        <w:t>NDF — Cockpit</w:t>
      </w:r>
    </w:p>
    <w:p>
      <w:r>
        <w:rPr>
          <w:b w:val="0"/>
          <w:i w:val="0"/>
        </w:rPr>
        <w:t>Cockpit operacional do NDF. Importa o arquivo do dia e permite adicionar, editar, remover e confirmar linhas da posição, consolidando o registro antes do envio.</w:t>
      </w:r>
    </w:p>
    <w:p>
      <w:r>
        <w:drawing>
          <wp:inline xmlns:a="http://schemas.openxmlformats.org/drawingml/2006/main" xmlns:pic="http://schemas.openxmlformats.org/drawingml/2006/picture">
            <wp:extent cx="6035040" cy="442066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df-cockp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20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OTC Tracker · NDF — Cockpit — dados fictícios.</w:t>
      </w:r>
    </w:p>
    <w:p>
      <w:pPr>
        <w:pStyle w:val="Heading3"/>
      </w:pPr>
      <w:r>
        <w:rPr>
          <w:color w:val="1A1A1A"/>
          <w:sz w:val="24"/>
        </w:rPr>
        <w:t>Other Products — Summary</w:t>
      </w:r>
    </w:p>
    <w:p>
      <w:r>
        <w:rPr>
          <w:b w:val="0"/>
          <w:i w:val="0"/>
        </w:rPr>
        <w:t>Resumo consolidado dos demais produtos (COE, NDF, Option, Swap) com widgets de total, vencimentos (maturity), prêmio e fluxo por produto.</w:t>
      </w:r>
    </w:p>
    <w:p>
      <w:r>
        <w:drawing>
          <wp:inline xmlns:a="http://schemas.openxmlformats.org/drawingml/2006/main" xmlns:pic="http://schemas.openxmlformats.org/drawingml/2006/picture">
            <wp:extent cx="6035040" cy="386619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ther-products-summa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66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OTC Tracker · Other Products — Summary — dados fictícios.</w:t>
      </w:r>
    </w:p>
    <w:p>
      <w:pPr>
        <w:pStyle w:val="Heading3"/>
      </w:pPr>
      <w:r>
        <w:rPr>
          <w:color w:val="1A1A1A"/>
          <w:sz w:val="24"/>
        </w:rPr>
        <w:t>OTM Settlements</w:t>
      </w:r>
    </w:p>
    <w:p>
      <w:r>
        <w:rPr>
          <w:b w:val="0"/>
          <w:i w:val="0"/>
        </w:rPr>
        <w:t>Liquidações OTM (cashflows). Importa o arquivo de liquidação e permite adicionar, editar, remover e confirmar cada linha antes do fechamento.</w:t>
      </w:r>
    </w:p>
    <w:p>
      <w:r>
        <w:drawing>
          <wp:inline xmlns:a="http://schemas.openxmlformats.org/drawingml/2006/main" xmlns:pic="http://schemas.openxmlformats.org/drawingml/2006/picture">
            <wp:extent cx="6035040" cy="442066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tm-settlemen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20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OTC Tracker · OTM Settlements — dados fictícios.</w:t>
      </w:r>
    </w:p>
    <w:p>
      <w:pPr>
        <w:pStyle w:val="Heading3"/>
      </w:pPr>
      <w:r>
        <w:rPr>
          <w:color w:val="1A1A1A"/>
          <w:sz w:val="24"/>
        </w:rPr>
        <w:t>Cognos (FXO Detail)</w:t>
      </w:r>
    </w:p>
    <w:p>
      <w:r>
        <w:rPr>
          <w:b w:val="0"/>
          <w:i w:val="0"/>
        </w:rPr>
        <w:t>Visão de detalhe das operações de Opção FX (FXO), com as datas e parâmetros do contrato (strike, vencimento, prêmio) para conferência.</w:t>
      </w:r>
    </w:p>
    <w:p>
      <w:r>
        <w:drawing>
          <wp:inline xmlns:a="http://schemas.openxmlformats.org/drawingml/2006/main" xmlns:pic="http://schemas.openxmlformats.org/drawingml/2006/picture">
            <wp:extent cx="6035040" cy="442066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gn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20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OTC Tracker · Cognos (FXO Detail) — dados fictícios.</w:t>
      </w:r>
    </w:p>
    <w:p>
      <w:pPr>
        <w:pStyle w:val="Heading3"/>
      </w:pPr>
      <w:r>
        <w:rPr>
          <w:color w:val="1A1A1A"/>
          <w:sz w:val="24"/>
        </w:rPr>
        <w:t>Live Position — NDF</w:t>
      </w:r>
    </w:p>
    <w:p>
      <w:r>
        <w:rPr>
          <w:b w:val="0"/>
          <w:i w:val="0"/>
        </w:rPr>
        <w:t>Posição viva de NDF (somente leitura), com os widgets Vanilla / Other Publisher / T+0 / Commodities / Total e a tabela dos contratos em custódia na Data Base. Descarta o filtro de vencimento — conta a posição viva.</w:t>
      </w:r>
    </w:p>
    <w:p>
      <w:r>
        <w:drawing>
          <wp:inline xmlns:a="http://schemas.openxmlformats.org/drawingml/2006/main" xmlns:pic="http://schemas.openxmlformats.org/drawingml/2006/picture">
            <wp:extent cx="6035040" cy="385865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position-nd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58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OTC Tracker · Live Position — NDF — dados fictícios.</w:t>
      </w:r>
    </w:p>
    <w:p>
      <w:pPr>
        <w:pStyle w:val="Heading3"/>
      </w:pPr>
      <w:r>
        <w:rPr>
          <w:color w:val="1A1A1A"/>
          <w:sz w:val="24"/>
        </w:rPr>
        <w:t>Live Position — Swap (Características)</w:t>
      </w:r>
    </w:p>
    <w:p>
      <w:r>
        <w:rPr>
          <w:b w:val="0"/>
          <w:i w:val="0"/>
        </w:rPr>
        <w:t>Posição viva de Swap com as características de cada contrato em custódia na Data Base.</w:t>
      </w:r>
    </w:p>
    <w:p>
      <w:r>
        <w:drawing>
          <wp:inline xmlns:a="http://schemas.openxmlformats.org/drawingml/2006/main" xmlns:pic="http://schemas.openxmlformats.org/drawingml/2006/picture">
            <wp:extent cx="6035040" cy="427356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position-swap-character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73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OTC Tracker · Live Position — Swap (Características) — dados fictícios.</w:t>
      </w:r>
    </w:p>
    <w:p>
      <w:pPr>
        <w:pStyle w:val="Heading3"/>
      </w:pPr>
      <w:r>
        <w:rPr>
          <w:color w:val="1A1A1A"/>
          <w:sz w:val="24"/>
        </w:rPr>
        <w:t>Live Position — Option</w:t>
      </w:r>
    </w:p>
    <w:p>
      <w:r>
        <w:rPr>
          <w:b w:val="0"/>
          <w:i w:val="0"/>
        </w:rPr>
        <w:t>Posição viva das Opções em custódia na Data Base, com strike, barreiras, prêmio e situação do contrato.</w:t>
      </w:r>
    </w:p>
    <w:p>
      <w:r>
        <w:drawing>
          <wp:inline xmlns:a="http://schemas.openxmlformats.org/drawingml/2006/main" xmlns:pic="http://schemas.openxmlformats.org/drawingml/2006/picture">
            <wp:extent cx="6035040" cy="385865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position-op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58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OTC Tracker · Live Position — Option — dados fictícios.</w:t>
      </w:r>
    </w:p>
    <w:p>
      <w:pPr>
        <w:pStyle w:val="Heading3"/>
      </w:pPr>
      <w:r>
        <w:rPr>
          <w:color w:val="1A1A1A"/>
          <w:sz w:val="24"/>
        </w:rPr>
        <w:t>Operations — B3</w:t>
      </w:r>
    </w:p>
    <w:p>
      <w:r>
        <w:rPr>
          <w:b w:val="0"/>
          <w:i w:val="0"/>
        </w:rPr>
        <w:t>Operações registradas na B3. Importa o retorno, permite adicionar/editar/remover e confirmar linhas e consolida as métricas de operações do dia.</w:t>
      </w:r>
    </w:p>
    <w:p>
      <w:r>
        <w:drawing>
          <wp:inline xmlns:a="http://schemas.openxmlformats.org/drawingml/2006/main" xmlns:pic="http://schemas.openxmlformats.org/drawingml/2006/picture">
            <wp:extent cx="6035040" cy="442066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erations-b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20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OTC Tracker · Operations — B3 — dados fictícios.</w:t>
      </w:r>
    </w:p>
    <w:p>
      <w:pPr>
        <w:pStyle w:val="Heading2"/>
      </w:pPr>
      <w:r>
        <w:rPr>
          <w:color w:val="0066CC"/>
          <w:sz w:val="28"/>
        </w:rPr>
        <w:t>Conciliações (Reconciliations)</w:t>
      </w:r>
    </w:p>
    <w:p>
      <w:pPr>
        <w:pStyle w:val="Heading3"/>
      </w:pPr>
      <w:r>
        <w:rPr>
          <w:color w:val="1A1A1A"/>
          <w:sz w:val="24"/>
        </w:rPr>
        <w:t>Conciliação — Comitente</w:t>
      </w:r>
    </w:p>
    <w:p>
      <w:r>
        <w:rPr>
          <w:b w:val="0"/>
          <w:i w:val="0"/>
        </w:rPr>
        <w:t>Concilia as posições por comitente entre a base interna e o retorno da câmara, sinalizando divergências.</w:t>
      </w:r>
    </w:p>
    <w:p>
      <w:r>
        <w:drawing>
          <wp:inline xmlns:a="http://schemas.openxmlformats.org/drawingml/2006/main" xmlns:pic="http://schemas.openxmlformats.org/drawingml/2006/picture">
            <wp:extent cx="6035040" cy="37719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comitent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OTC Tracker · Conciliação — Comitente — dados fictícios.</w:t>
      </w:r>
    </w:p>
    <w:p>
      <w:pPr>
        <w:pStyle w:val="Heading3"/>
      </w:pPr>
      <w:r>
        <w:rPr>
          <w:color w:val="1A1A1A"/>
          <w:sz w:val="24"/>
        </w:rPr>
        <w:t>Conciliação — Pay/Rec</w:t>
      </w:r>
    </w:p>
    <w:p>
      <w:r>
        <w:rPr>
          <w:b w:val="0"/>
          <w:i w:val="0"/>
        </w:rPr>
        <w:t>Concilia os valores a pagar e a receber (Pay/Rec), apontando as diferenças a tratar antes do encerramento.</w:t>
      </w:r>
    </w:p>
    <w:p>
      <w:r>
        <w:drawing>
          <wp:inline xmlns:a="http://schemas.openxmlformats.org/drawingml/2006/main" xmlns:pic="http://schemas.openxmlformats.org/drawingml/2006/picture">
            <wp:extent cx="6035040" cy="37719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payre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OTC Tracker · Conciliação — Pay/Rec — dados fictícios.</w:t>
      </w:r>
    </w:p>
    <w:p>
      <w:pPr>
        <w:pStyle w:val="Heading2"/>
      </w:pPr>
      <w:r>
        <w:rPr>
          <w:color w:val="0066CC"/>
          <w:sz w:val="28"/>
        </w:rPr>
        <w:t>Documentação (Documentation)</w:t>
      </w:r>
    </w:p>
    <w:p>
      <w:pPr>
        <w:pStyle w:val="Heading3"/>
      </w:pPr>
      <w:r>
        <w:rPr>
          <w:color w:val="1A1A1A"/>
          <w:sz w:val="24"/>
        </w:rPr>
        <w:t>Pending Confirmation</w:t>
      </w:r>
    </w:p>
    <w:p>
      <w:r>
        <w:rPr>
          <w:b w:val="0"/>
          <w:i w:val="0"/>
        </w:rPr>
        <w:t>Fila das operações com confirmação pendente, para o operador acompanhar e tratar o que ainda não foi confirmado pela contraparte/câmara.</w:t>
      </w:r>
    </w:p>
    <w:p>
      <w:r>
        <w:drawing>
          <wp:inline xmlns:a="http://schemas.openxmlformats.org/drawingml/2006/main" xmlns:pic="http://schemas.openxmlformats.org/drawingml/2006/picture">
            <wp:extent cx="6035040" cy="37719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nding-confirmati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OTC Tracker · Pending Confirmation — dados fictícios.</w:t>
      </w:r>
    </w:p>
    <w:p>
      <w:pPr>
        <w:pStyle w:val="Heading2"/>
      </w:pPr>
      <w:r>
        <w:rPr>
          <w:color w:val="0066CC"/>
          <w:sz w:val="28"/>
        </w:rPr>
        <w:t>Regulatório (Regulatory)</w:t>
      </w:r>
    </w:p>
    <w:p>
      <w:pPr>
        <w:pStyle w:val="Heading3"/>
      </w:pPr>
      <w:r>
        <w:rPr>
          <w:color w:val="1A1A1A"/>
          <w:sz w:val="24"/>
        </w:rPr>
        <w:t>Accrual — Swap (EOM)</w:t>
      </w:r>
    </w:p>
    <w:p>
      <w:r>
        <w:rPr>
          <w:b w:val="0"/>
          <w:i w:val="0"/>
        </w:rPr>
        <w:t>Processamento de accrual de Swap no fim de mês (EOM). Importa/calcula os fatores, roda a Validação (que bloqueia com "missing_accrual" se houver contratos sem fator), gera os arquivos de validação, concilia (recon) contra o retorno e encerra o processo.</w:t>
      </w:r>
    </w:p>
    <w:p>
      <w:r>
        <w:drawing>
          <wp:inline xmlns:a="http://schemas.openxmlformats.org/drawingml/2006/main" xmlns:pic="http://schemas.openxmlformats.org/drawingml/2006/picture">
            <wp:extent cx="6035040" cy="560127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rual-swa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01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OTC Tracker · Accrual — Swap (EOM) — dados fictícios.</w:t>
      </w:r>
    </w:p>
    <w:p>
      <w:pPr>
        <w:pStyle w:val="Heading3"/>
      </w:pPr>
      <w:r>
        <w:rPr>
          <w:color w:val="1A1A1A"/>
          <w:sz w:val="24"/>
        </w:rPr>
        <w:t>MtM — Swap</w:t>
      </w:r>
    </w:p>
    <w:p>
      <w:r>
        <w:rPr>
          <w:b w:val="0"/>
          <w:i w:val="0"/>
        </w:rPr>
        <w:t>Marcação a mercado (MtM) de Swap e COE. Importa o arquivo de posição e os arquivos de valores de MtM (o sistema reconhece o tipo pelo nome), gera o batch no layout da câmara, concilia (recon) e encerra o processo.</w:t>
      </w:r>
    </w:p>
    <w:p>
      <w:r>
        <w:drawing>
          <wp:inline xmlns:a="http://schemas.openxmlformats.org/drawingml/2006/main" xmlns:pic="http://schemas.openxmlformats.org/drawingml/2006/picture">
            <wp:extent cx="6035040" cy="652538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m-sw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52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OTC Tracker · MtM — Swap — dados fictícios.</w:t>
      </w:r>
    </w:p>
    <w:p>
      <w:pPr>
        <w:pStyle w:val="Heading2"/>
      </w:pPr>
      <w:r>
        <w:rPr>
          <w:color w:val="0066CC"/>
          <w:sz w:val="28"/>
        </w:rPr>
        <w:t>Produtos — New Deals (Products)</w:t>
      </w:r>
    </w:p>
    <w:p>
      <w:pPr>
        <w:pStyle w:val="Heading3"/>
      </w:pPr>
      <w:r>
        <w:rPr>
          <w:color w:val="1A1A1A"/>
          <w:sz w:val="24"/>
        </w:rPr>
        <w:t>New Deals — NDF Forward Start</w:t>
      </w:r>
    </w:p>
    <w:p>
      <w:r>
        <w:rPr>
          <w:b w:val="0"/>
          <w:i w:val="0"/>
        </w:rPr>
        <w:t>Registro de novos negócios de NDF do tipo Forward Start.</w:t>
      </w:r>
    </w:p>
    <w:p>
      <w:r>
        <w:drawing>
          <wp:inline xmlns:a="http://schemas.openxmlformats.org/drawingml/2006/main" xmlns:pic="http://schemas.openxmlformats.org/drawingml/2006/picture">
            <wp:extent cx="6035040" cy="37719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fwdstar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OTC Tracker · New Deals — NDF Forward Start — dados fictícios.</w:t>
      </w:r>
    </w:p>
    <w:p>
      <w:pPr>
        <w:pStyle w:val="Heading3"/>
      </w:pPr>
      <w:r>
        <w:rPr>
          <w:color w:val="1A1A1A"/>
          <w:sz w:val="24"/>
        </w:rPr>
        <w:t>New Deals — NDF Other Publisher</w:t>
      </w:r>
    </w:p>
    <w:p>
      <w:r>
        <w:rPr>
          <w:b w:val="0"/>
          <w:i w:val="0"/>
        </w:rPr>
        <w:t>Registro de novos negócios de NDF do tipo Other Publisher (feeder).</w:t>
      </w:r>
    </w:p>
    <w:p>
      <w:r>
        <w:drawing>
          <wp:inline xmlns:a="http://schemas.openxmlformats.org/drawingml/2006/main" xmlns:pic="http://schemas.openxmlformats.org/drawingml/2006/picture">
            <wp:extent cx="6035040" cy="37719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otherpublish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OTC Tracker · New Deals — NDF Other Publisher — dados fictícios.</w:t>
      </w:r>
    </w:p>
    <w:p>
      <w:pPr>
        <w:pStyle w:val="Heading3"/>
      </w:pPr>
      <w:r>
        <w:rPr>
          <w:color w:val="1A1A1A"/>
          <w:sz w:val="24"/>
        </w:rPr>
        <w:t>New Deals — NDF Commodities</w:t>
      </w:r>
    </w:p>
    <w:p>
      <w:r>
        <w:rPr>
          <w:b w:val="0"/>
          <w:i w:val="0"/>
        </w:rPr>
        <w:t>Registro de novos negócios de NDF de Commodities. Mantém o cache de deals, gera o arquivo Conecta e o mapeamento para a B3.</w:t>
      </w:r>
    </w:p>
    <w:p>
      <w:r>
        <w:drawing>
          <wp:inline xmlns:a="http://schemas.openxmlformats.org/drawingml/2006/main" xmlns:pic="http://schemas.openxmlformats.org/drawingml/2006/picture">
            <wp:extent cx="6035040" cy="37719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commoditie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OTC Tracker · New Deals — NDF Commodities — dados fictícios.</w:t>
      </w:r>
    </w:p>
    <w:p>
      <w:pPr>
        <w:pStyle w:val="Heading3"/>
      </w:pPr>
      <w:r>
        <w:rPr>
          <w:color w:val="1A1A1A"/>
          <w:sz w:val="24"/>
        </w:rPr>
        <w:t>New Deals — Opção FXO</w:t>
      </w:r>
    </w:p>
    <w:p>
      <w:r>
        <w:rPr>
          <w:b w:val="0"/>
          <w:i w:val="0"/>
        </w:rPr>
        <w:t>Registro de novos negócios de Opção FX (FXO). Importa a planilha, mantém o cache, gera o arquivo Conecta e o mapeamento B3 (strike, notional, vencimento, fixing).</w:t>
      </w:r>
    </w:p>
    <w:p>
      <w:r>
        <w:drawing>
          <wp:inline xmlns:a="http://schemas.openxmlformats.org/drawingml/2006/main" xmlns:pic="http://schemas.openxmlformats.org/drawingml/2006/picture">
            <wp:extent cx="6035040" cy="37719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opt-fx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OTC Tracker · New Deals — Opção FXO — dados fictícios.</w:t>
      </w:r>
    </w:p>
    <w:p>
      <w:pPr>
        <w:pStyle w:val="Heading3"/>
      </w:pPr>
      <w:r>
        <w:rPr>
          <w:color w:val="1A1A1A"/>
          <w:sz w:val="24"/>
        </w:rPr>
        <w:t>New Deals — Opção Commodities</w:t>
      </w:r>
    </w:p>
    <w:p>
      <w:r>
        <w:rPr>
          <w:b w:val="0"/>
          <w:i w:val="0"/>
        </w:rPr>
        <w:t>Registro de novos negócios de Opção de Commodities, com cache, geração Conecta e mapeamento B3.</w:t>
      </w:r>
    </w:p>
    <w:p>
      <w:r>
        <w:drawing>
          <wp:inline xmlns:a="http://schemas.openxmlformats.org/drawingml/2006/main" xmlns:pic="http://schemas.openxmlformats.org/drawingml/2006/picture">
            <wp:extent cx="6035040" cy="37719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opt-commoditie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OTC Tracker · New Deals — Opção Commodities — dados fictícios.</w:t>
      </w:r>
    </w:p>
    <w:p>
      <w:pPr>
        <w:pStyle w:val="Heading2"/>
      </w:pPr>
      <w:r>
        <w:rPr>
          <w:color w:val="0066CC"/>
          <w:sz w:val="28"/>
        </w:rPr>
        <w:t>Base de Dados &amp; Administração (Data Base)</w:t>
      </w:r>
    </w:p>
    <w:p>
      <w:pPr>
        <w:pStyle w:val="Heading3"/>
      </w:pPr>
      <w:r>
        <w:rPr>
          <w:color w:val="1A1A1A"/>
          <w:sz w:val="24"/>
        </w:rPr>
        <w:t>Reference Data</w:t>
      </w:r>
    </w:p>
    <w:p>
      <w:r>
        <w:rPr>
          <w:b w:val="0"/>
          <w:i w:val="0"/>
        </w:rPr>
        <w:t>Dados de referência e tabelas de apoio usados pelas demais telas (contrapartes, contas, mapeamentos).</w:t>
      </w:r>
    </w:p>
    <w:p>
      <w:r>
        <w:drawing>
          <wp:inline xmlns:a="http://schemas.openxmlformats.org/drawingml/2006/main" xmlns:pic="http://schemas.openxmlformats.org/drawingml/2006/picture">
            <wp:extent cx="6035040" cy="715152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data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51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OTC Tracker · Reference Data — dados fictícios.</w:t>
      </w:r>
    </w:p>
    <w:p>
      <w:pPr>
        <w:pStyle w:val="Heading3"/>
      </w:pPr>
      <w:r>
        <w:rPr>
          <w:color w:val="1A1A1A"/>
          <w:sz w:val="24"/>
        </w:rPr>
        <w:t>Index B3</w:t>
      </w:r>
    </w:p>
    <w:p>
      <w:r>
        <w:rPr>
          <w:b w:val="0"/>
          <w:i w:val="0"/>
        </w:rPr>
        <w:t>Consulta de índices e resultados da B3 usados nas apurações.</w:t>
      </w:r>
    </w:p>
    <w:p>
      <w:r>
        <w:drawing>
          <wp:inline xmlns:a="http://schemas.openxmlformats.org/drawingml/2006/main" xmlns:pic="http://schemas.openxmlformats.org/drawingml/2006/picture">
            <wp:extent cx="6035040" cy="37719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ex-b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OTC Tracker · Index B3 — dados fictícios.</w:t>
      </w:r>
    </w:p>
    <w:p>
      <w:pPr>
        <w:pStyle w:val="Heading3"/>
      </w:pPr>
      <w:r>
        <w:rPr>
          <w:color w:val="1A1A1A"/>
          <w:sz w:val="24"/>
        </w:rPr>
        <w:t>Intragrupo — NDF</w:t>
      </w:r>
    </w:p>
    <w:p>
      <w:r>
        <w:rPr>
          <w:b w:val="0"/>
          <w:i w:val="0"/>
        </w:rPr>
        <w:t>Operações intragrupo de NDF. Permite enviar o arquivo, editar e aprovar as operações entre entidades do grupo.</w:t>
      </w:r>
    </w:p>
    <w:p>
      <w:r>
        <w:drawing>
          <wp:inline xmlns:a="http://schemas.openxmlformats.org/drawingml/2006/main" xmlns:pic="http://schemas.openxmlformats.org/drawingml/2006/picture">
            <wp:extent cx="6035040" cy="37719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ag-ndf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OTC Tracker · Intragrupo — NDF — dados fictícios.</w:t>
      </w:r>
    </w:p>
    <w:p>
      <w:pPr>
        <w:pStyle w:val="Heading3"/>
      </w:pPr>
      <w:r>
        <w:rPr>
          <w:color w:val="1A1A1A"/>
          <w:sz w:val="24"/>
        </w:rPr>
        <w:t>Intragrupo — Opção</w:t>
      </w:r>
    </w:p>
    <w:p>
      <w:r>
        <w:rPr>
          <w:b w:val="0"/>
          <w:i w:val="0"/>
        </w:rPr>
        <w:t>Operações intragrupo de Opção. Permite enviar o arquivo, editar e aprovar as operações entre entidades do grupo.</w:t>
      </w:r>
    </w:p>
    <w:p>
      <w:r>
        <w:drawing>
          <wp:inline xmlns:a="http://schemas.openxmlformats.org/drawingml/2006/main" xmlns:pic="http://schemas.openxmlformats.org/drawingml/2006/picture">
            <wp:extent cx="6035040" cy="37719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ag-option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OTC Tracker · Intragrupo — Opção — dados fictícios.</w:t>
      </w:r>
    </w:p>
    <w:p>
      <w:pPr>
        <w:pStyle w:val="Heading3"/>
      </w:pPr>
      <w:r>
        <w:rPr>
          <w:color w:val="1A1A1A"/>
          <w:sz w:val="24"/>
        </w:rPr>
        <w:t>Usuários &amp; Papéis</w:t>
      </w:r>
    </w:p>
    <w:p>
      <w:r>
        <w:rPr>
          <w:b w:val="0"/>
          <w:i w:val="0"/>
        </w:rPr>
        <w:t>Administração de usuários e papéis (perfis de acesso) do sistema.</w:t>
      </w:r>
    </w:p>
    <w:p>
      <w:r>
        <w:drawing>
          <wp:inline xmlns:a="http://schemas.openxmlformats.org/drawingml/2006/main" xmlns:pic="http://schemas.openxmlformats.org/drawingml/2006/picture">
            <wp:extent cx="6035040" cy="37719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-role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OTC Tracker · Usuários &amp; Papéis — dados fictícios.</w:t>
      </w:r>
    </w:p>
    <w:p>
      <w:pPr>
        <w:pStyle w:val="Heading3"/>
      </w:pPr>
      <w:r>
        <w:rPr>
          <w:color w:val="1A1A1A"/>
          <w:sz w:val="24"/>
        </w:rPr>
        <w:t>Central de Chamados — Lista</w:t>
      </w:r>
    </w:p>
    <w:p>
      <w:r>
        <w:rPr>
          <w:b w:val="0"/>
          <w:i w:val="0"/>
        </w:rPr>
        <w:t>Lista dos chamados de suporte interno registrados no sistema.</w:t>
      </w:r>
    </w:p>
    <w:p>
      <w:r>
        <w:drawing>
          <wp:inline xmlns:a="http://schemas.openxmlformats.org/drawingml/2006/main" xmlns:pic="http://schemas.openxmlformats.org/drawingml/2006/picture">
            <wp:extent cx="6035040" cy="37719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ets-lis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OTC Tracker · Central de Chamados — Lista — dados fictícios.</w:t>
      </w:r>
    </w:p>
    <w:p>
      <w:pPr>
        <w:pStyle w:val="Heading3"/>
      </w:pPr>
      <w:r>
        <w:rPr>
          <w:color w:val="1A1A1A"/>
          <w:sz w:val="24"/>
        </w:rPr>
        <w:t>Central de Chamados — Detalhe</w:t>
      </w:r>
    </w:p>
    <w:p>
      <w:r>
        <w:rPr>
          <w:b w:val="0"/>
          <w:i w:val="0"/>
        </w:rPr>
        <w:t>Detalhe de um chamado de suporte, com histórico e status.</w:t>
      </w:r>
    </w:p>
    <w:p>
      <w:r>
        <w:drawing>
          <wp:inline xmlns:a="http://schemas.openxmlformats.org/drawingml/2006/main" xmlns:pic="http://schemas.openxmlformats.org/drawingml/2006/picture">
            <wp:extent cx="6035040" cy="471110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et-detail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1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OTC Tracker · Central de Chamados — Detalhe — dados fictícios.</w:t>
      </w:r>
    </w:p>
    <w:p>
      <w:pPr>
        <w:pStyle w:val="Heading3"/>
      </w:pPr>
      <w:r>
        <w:rPr>
          <w:color w:val="1A1A1A"/>
          <w:sz w:val="24"/>
        </w:rPr>
        <w:t>Central de Chamados — Novo</w:t>
      </w:r>
    </w:p>
    <w:p>
      <w:r>
        <w:rPr>
          <w:b w:val="0"/>
          <w:i w:val="0"/>
        </w:rPr>
        <w:t>Abertura de um novo chamado de suporte interno.</w:t>
      </w:r>
    </w:p>
    <w:p>
      <w:r>
        <w:drawing>
          <wp:inline xmlns:a="http://schemas.openxmlformats.org/drawingml/2006/main" xmlns:pic="http://schemas.openxmlformats.org/drawingml/2006/picture">
            <wp:extent cx="6035040" cy="37719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et-creat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OTC Tracker · Central de Chamados — Novo — dados fictícios.</w:t>
      </w:r>
    </w:p>
    <w:p>
      <w:r>
        <w:br w:type="page"/>
      </w:r>
    </w:p>
    <w:p>
      <w:pPr>
        <w:pStyle w:val="Heading1"/>
      </w:pPr>
      <w:r>
        <w:rPr>
          <w:color w:val="0066CC"/>
        </w:rPr>
        <w:t>6. Tratamento de Exceções</w:t>
      </w:r>
    </w:p>
    <w:p>
      <w:r>
        <w:rPr>
          <w:b w:val="0"/>
          <w:i w:val="0"/>
        </w:rPr>
        <w:t>O OTC Tracker devolve mensagens padronizadas por rota. A tabela mapeia os erros reais do backend e a ação do operador.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Código / Mensagem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ocorre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Ação do operador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HTTP 401 — Not authenticated</w:t>
            </w:r>
          </w:p>
        </w:tc>
        <w:tc>
          <w:tcPr>
            <w:tcW w:type="dxa" w:w="3312"/>
          </w:tcPr>
          <w:p>
            <w:r>
              <w:t>Sessão expirou ou não autenticada.</w:t>
            </w:r>
          </w:p>
        </w:tc>
        <w:tc>
          <w:tcPr>
            <w:tcW w:type="dxa" w:w="3312"/>
          </w:tcPr>
          <w:p>
            <w:r>
              <w:t>Refaça o login e a verificação em duas etapas.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HTTP 400 — No file provided</w:t>
            </w:r>
          </w:p>
        </w:tc>
        <w:tc>
          <w:tcPr>
            <w:tcW w:type="dxa" w:w="3312"/>
          </w:tcPr>
          <w:p>
            <w:r>
              <w:t>Nenhum arquivo enviado na importação.</w:t>
            </w:r>
          </w:p>
        </w:tc>
        <w:tc>
          <w:tcPr>
            <w:tcW w:type="dxa" w:w="3312"/>
          </w:tcPr>
          <w:p>
            <w:r>
              <w:t>Selecione/arraste o arquivo antes de acionar o botão.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HTTP 400 — Invalid date (expected YYYY-MM-DD)</w:t>
            </w:r>
          </w:p>
        </w:tc>
        <w:tc>
          <w:tcPr>
            <w:tcW w:type="dxa" w:w="3312"/>
          </w:tcPr>
          <w:p>
            <w:r>
              <w:t>Data em formato inválido.</w:t>
            </w:r>
          </w:p>
        </w:tc>
        <w:tc>
          <w:tcPr>
            <w:tcW w:type="dxa" w:w="3312"/>
          </w:tcPr>
          <w:p>
            <w:r>
              <w:t>Use o datepicker; confira o formato da Data Base.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HTTP 400 — Unrecognized file</w:t>
            </w:r>
          </w:p>
        </w:tc>
        <w:tc>
          <w:tcPr>
            <w:tcW w:type="dxa" w:w="3312"/>
          </w:tcPr>
          <w:p>
            <w:r>
              <w:t>Nome do arquivo não corresponde a um tipo esperado.</w:t>
            </w:r>
          </w:p>
        </w:tc>
        <w:tc>
          <w:tcPr>
            <w:tcW w:type="dxa" w:w="3312"/>
          </w:tcPr>
          <w:p>
            <w:r>
              <w:t>Envie o arquivo correto no nome-padrão; renomeie se preciso.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HTTP 400 — No files found in the source folder</w:t>
            </w:r>
          </w:p>
        </w:tc>
        <w:tc>
          <w:tcPr>
            <w:tcW w:type="dxa" w:w="3312"/>
          </w:tcPr>
          <w:p>
            <w:r>
              <w:t>Pasta de origem da Data Base vazia.</w:t>
            </w:r>
          </w:p>
        </w:tc>
        <w:tc>
          <w:tcPr>
            <w:tcW w:type="dxa" w:w="3312"/>
          </w:tcPr>
          <w:p>
            <w:r>
              <w:t>Confirme se os arquivos do dia foram depositados; ajuste a Data Base.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HTTP 400 — No CEM/EDG rows loaded</w:t>
            </w:r>
          </w:p>
        </w:tc>
        <w:tc>
          <w:tcPr>
            <w:tcW w:type="dxa" w:w="3312"/>
          </w:tcPr>
          <w:p>
            <w:r>
              <w:t>Aplicou valores de MtM antes de importar a posição.</w:t>
            </w:r>
          </w:p>
        </w:tc>
        <w:tc>
          <w:tcPr>
            <w:tcW w:type="dxa" w:w="3312"/>
          </w:tcPr>
          <w:p>
            <w:r>
              <w:t>Importe primeiro a posição; depois aplique os valores.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HTTP 400 — missing_accrual (+ lista)</w:t>
            </w:r>
          </w:p>
        </w:tc>
        <w:tc>
          <w:tcPr>
            <w:tcW w:type="dxa" w:w="3312"/>
          </w:tcPr>
          <w:p>
            <w:r>
              <w:t>Contratos sem fator de accrual na validação EOM.</w:t>
            </w:r>
          </w:p>
        </w:tc>
        <w:tc>
          <w:tcPr>
            <w:tcW w:type="dxa" w:w="3312"/>
          </w:tcPr>
          <w:p>
            <w:r>
              <w:t>Preencha os fatores listados e rode a Validação de novo.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HTTP 404 — No saved data for this date</w:t>
            </w:r>
          </w:p>
        </w:tc>
        <w:tc>
          <w:tcPr>
            <w:tcW w:type="dxa" w:w="3312"/>
          </w:tcPr>
          <w:p>
            <w:r>
              <w:t>Não há conjunto salvo para a Data Base.</w:t>
            </w:r>
          </w:p>
        </w:tc>
        <w:tc>
          <w:tcPr>
            <w:tcW w:type="dxa" w:w="3312"/>
          </w:tcPr>
          <w:p>
            <w:r>
              <w:t>Rode a importação/processamento do dia antes da validação/recon.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HTTP 500 — Failed to read/save/write</w:t>
            </w:r>
          </w:p>
        </w:tc>
        <w:tc>
          <w:tcPr>
            <w:tcW w:type="dxa" w:w="3312"/>
          </w:tcPr>
          <w:p>
            <w:r>
              <w:t>Falha interna (registrada no log com traceback).</w:t>
            </w:r>
          </w:p>
        </w:tc>
        <w:tc>
          <w:tcPr>
            <w:tcW w:type="dxa" w:w="3312"/>
          </w:tcPr>
          <w:p>
            <w:r>
              <w:t>Tente novamente; se persistir, acione o Suporte com rotina, Data Base e horário.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Validação de formulário na tela</w:t>
            </w:r>
          </w:p>
        </w:tc>
        <w:tc>
          <w:tcPr>
            <w:tcW w:type="dxa" w:w="3312"/>
          </w:tcPr>
          <w:p>
            <w:r>
              <w:t>Campo obrigatório vazio ou valor fora do padrão (ex.: Strike ausente).</w:t>
            </w:r>
          </w:p>
        </w:tc>
        <w:tc>
          <w:tcPr>
            <w:tcW w:type="dxa" w:w="3312"/>
          </w:tcPr>
          <w:p>
            <w:r>
              <w:t>Corrija o campo destacado (Editar) e reconfirme antes de processar.</w:t>
            </w:r>
          </w:p>
        </w:tc>
      </w:tr>
    </w:tbl>
    <w:p>
      <w:r>
        <w:rPr>
          <w:b w:val="0"/>
          <w:i w:val="0"/>
        </w:rPr>
      </w:r>
    </w:p>
    <w:p>
      <w:r>
        <w:rPr>
          <w:b w:val="0"/>
          <w:i/>
          <w:color w:val="555555"/>
        </w:rPr>
        <w:t>Regra geral: erros HTTP 400/404 são corrigíveis pelo operador (arquivo, data ou dado faltante). Erros HTTP 500 indicam falha do sistema e devem ser encaminhados ao Suporte de TI.</w:t>
      </w:r>
    </w:p>
    <w:p>
      <w:r>
        <w:br w:type="page"/>
      </w:r>
    </w:p>
    <w:p>
      <w:pPr>
        <w:pStyle w:val="Heading1"/>
      </w:pPr>
      <w:r>
        <w:rPr>
          <w:color w:val="0066CC"/>
        </w:rPr>
        <w:t>7. Suporte</w:t>
      </w:r>
    </w:p>
    <w:p>
      <w:r>
        <w:rPr>
          <w:b w:val="0"/>
          <w:i/>
          <w:color w:val="555555"/>
        </w:rPr>
        <w:t>Os contatos abaixo são fictícios e servem de modelo para preenchimento com os dados reais da organização.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Nível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Canal / Contato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Horário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1 — Central de Serviços de TI</w:t>
            </w:r>
          </w:p>
        </w:tc>
        <w:tc>
          <w:tcPr>
            <w:tcW w:type="dxa" w:w="3312"/>
          </w:tcPr>
          <w:p>
            <w:r>
              <w:t>portal.suporte.exemplo · +55 (11) 4000-0000</w:t>
            </w:r>
          </w:p>
        </w:tc>
        <w:tc>
          <w:tcPr>
            <w:tcW w:type="dxa" w:w="3312"/>
          </w:tcPr>
          <w:p>
            <w:r>
              <w:t>24 x 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2 — Suporte à Aplicação (OTC Tracker)</w:t>
            </w:r>
          </w:p>
        </w:tc>
        <w:tc>
          <w:tcPr>
            <w:tcW w:type="dxa" w:w="3312"/>
          </w:tcPr>
          <w:p>
            <w:r>
              <w:t>suporte.otctracker@exemplo</w:t>
            </w:r>
          </w:p>
        </w:tc>
        <w:tc>
          <w:tcPr>
            <w:tcW w:type="dxa" w:w="3312"/>
          </w:tcPr>
          <w:p>
            <w:r>
              <w:t>Dias úteis, 07h–20h (BRT)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3 — Especialista Back Office OTC (plantão)</w:t>
            </w:r>
          </w:p>
        </w:tc>
        <w:tc>
          <w:tcPr>
            <w:tcW w:type="dxa" w:w="3312"/>
          </w:tcPr>
          <w:p>
            <w:r>
              <w:t>plantao.otc@exemplo · +55 (11) 4000-0099</w:t>
            </w:r>
          </w:p>
        </w:tc>
        <w:tc>
          <w:tcPr>
            <w:tcW w:type="dxa" w:w="3312"/>
          </w:tcPr>
          <w:p>
            <w:r>
              <w:t>Dias úteis, 06h–22h (BRT)</w:t>
            </w:r>
          </w:p>
        </w:tc>
      </w:tr>
    </w:tbl>
    <w:p>
      <w:r>
        <w:rPr>
          <w:b w:val="0"/>
          <w:i w:val="0"/>
        </w:rPr>
      </w:r>
    </w:p>
    <w:p>
      <w:r>
        <w:rPr>
          <w:b w:val="0"/>
          <w:i w:val="0"/>
        </w:rPr>
        <w:t>Ao abrir um chamado, informe sempre: (1) a rotina/tela; (2) a Data Base; (3) a mensagem de erro exata e o horário; (4) o nome do arquivo envolvido (sem anexar dados sensíveis).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