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h34wcl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2eqwv6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f7usgb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rzb4fj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th0nm6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yietbt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ht5nqw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lddp7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0xg7ns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h34wcl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f7usgb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2eqwv6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>Resumo consolidado dos demais produtos (COE, NDF, Option, Swap) com widgets de total, vencimentos (maturity), prêmio e fluxo por produto.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76o2eu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r6a_xg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ayi7esj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rzb4fj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m54ky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e7e5in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87pj27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pw6xuj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yt8iul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mhjb1l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jfhu3ox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mq8flv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9pd1h2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s8xsy1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mh6b6i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th0nm6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qn1nk_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cutl6g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s92u_5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s_ak2k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dh7kfp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lwgyrc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New Deals Monitor</w:t>
      </w:r>
      <w:r>
        <w:t xml:space="preserve"> (card *Unwind NDF FX*, na</w:t>
      </w:r>
    </w:p>
    <w:p>
      <w:r>
        <w:t>coluna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Em construção nesta fase:</w:t>
      </w:r>
      <w:r>
        <w:rPr>
          <w:color w:val="1A3A5A"/>
        </w:rPr>
        <w:t xml:space="preserve"> Termo de Resilição, arquivo da Intrag, entrada</w:t>
      </w:r>
    </w:p>
    <w:p>
      <w:pPr>
        <w:ind w:left="360"/>
        <w:shd w:val="clear" w:fill="EAF2FB"/>
      </w:pPr>
      <w:r>
        <w:rPr>
          <w:color w:val="1A3A5A"/>
        </w:rPr>
        <w:t>na esteira de confirmação e no Summary de NDF. Até que entrem, essas etapas</w:t>
      </w:r>
    </w:p>
    <w:p>
      <w:pPr>
        <w:ind w:left="360"/>
        <w:shd w:val="clear" w:fill="EAF2FB"/>
      </w:pPr>
      <w:r>
        <w:rPr>
          <w:color w:val="1A3A5A"/>
        </w:rPr>
        <w:t>seguem por fora do sistema.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k0wto8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bbf0muq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mzcixn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2tcbx_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uayfaku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1q0hm7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dioq2j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o9qi4r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