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pStyle w:val="Heading4"/>
      </w:pPr>
      <w:r>
        <w:rPr>
          <w:color w:val="555555"/>
          <w:sz w:val="22"/>
        </w:rPr>
        <w:t>Save CETIP Files — quatro destinos, cada um com o seu recorte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, </w:t>
      </w:r>
      <w:r>
        <w:rPr>
          <w:b/>
        </w:rPr>
        <w:t>BACC</w:t>
      </w:r>
      <w:r>
        <w:t xml:space="preserve"> e </w:t>
      </w:r>
      <w:r>
        <w:rPr>
          <w:b/>
        </w:rPr>
        <w:t>BACC HUB EQT MO</w:t>
      </w:r>
      <w:r>
        <w:t xml:space="preserve">. Cada um é um e-mail diferente, com a sua própria lista de </w:t>
      </w:r>
      <w:r>
        <w:rPr>
          <w:b/>
        </w:rPr>
        <w:t>To</w:t>
      </w:r>
      <w:r>
        <w:t xml:space="preserve"> e com OTC Ops sempre em cópia.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recebe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Sales Support</w:t>
            </w:r>
          </w:p>
        </w:tc>
        <w:tc>
          <w:tcPr>
            <w:tcW w:type="dxa" w:w="4968"/>
          </w:tcPr>
          <w:p>
            <w:r>
              <w:t>Contrato/SIC, posição de Termo, de Opção e de SWAP — os arquivos como saem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Latam BA</w:t>
            </w:r>
          </w:p>
        </w:tc>
        <w:tc>
          <w:tcPr>
            <w:tcW w:type="dxa" w:w="4968"/>
          </w:tcPr>
          <w:p>
            <w:r>
              <w:t>só a posição de Opção (</w:t>
            </w:r>
            <w:r>
              <w:rPr>
                <w:rFonts w:ascii="Consolas" w:hAnsi="Consolas"/>
                <w:color w:val="B03060"/>
              </w:rPr>
              <w:t>DPOSICAO.OPC</w:t>
            </w:r>
            <w:r>
              <w:t>) — o arquivo como sai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</w:t>
            </w:r>
          </w:p>
        </w:tc>
        <w:tc>
          <w:tcPr>
            <w:tcW w:type="dxa" w:w="4968"/>
          </w:tcPr>
          <w:p>
            <w:r>
              <w:t xml:space="preserve">DFLUXO swap, posição swap, posição OPC e posição TER — </w:t>
            </w:r>
            <w:r>
              <w:rPr>
                <w:b/>
              </w:rPr>
              <w:t>recortados</w:t>
            </w:r>
            <w:r>
              <w:t xml:space="preserve"> para as operações entre contas de casa (Lawton </w:t>
            </w:r>
            <w:r>
              <w:rPr>
                <w:rFonts w:ascii="Consolas" w:hAnsi="Consolas"/>
                <w:color w:val="B03060"/>
              </w:rPr>
              <w:t>00041.00-7</w:t>
            </w:r>
            <w:r>
              <w:t xml:space="preserve">, Banco </w:t>
            </w:r>
            <w:r>
              <w:rPr>
                <w:rFonts w:ascii="Consolas" w:hAnsi="Consolas"/>
                <w:color w:val="B03060"/>
              </w:rPr>
              <w:t>73760.00-9</w:t>
            </w:r>
            <w:r>
              <w:t xml:space="preserve">, Atacama </w:t>
            </w:r>
            <w:r>
              <w:rPr>
                <w:rFonts w:ascii="Consolas" w:hAnsi="Consolas"/>
                <w:color w:val="B03060"/>
              </w:rPr>
              <w:t>85398.00-5</w:t>
            </w:r>
            <w:r>
              <w:t>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 HUB EQT MO</w:t>
            </w:r>
          </w:p>
        </w:tc>
        <w:tc>
          <w:tcPr>
            <w:tcW w:type="dxa" w:w="4968"/>
          </w:tcPr>
          <w:p>
            <w:r>
              <w:t xml:space="preserve">posição de Estratégia (MID), posição de Opção, posição de SWAP e Agenda de Prêmios — </w:t>
            </w:r>
            <w:r>
              <w:rPr>
                <w:b/>
              </w:rPr>
              <w:t>inteiros, sem filtro nenhum</w:t>
            </w:r>
            <w:r>
              <w:t>, para reconciliação de posição</w:t>
            </w:r>
          </w:p>
        </w:tc>
      </w:tr>
    </w:tbl>
    <w:p/>
    <w:p>
      <w:pPr>
        <w:pStyle w:val="ListNumber"/>
      </w:pPr>
      <w:r>
        <w:t xml:space="preserve">Preencha as </w:t>
      </w:r>
      <w:r>
        <w:rPr>
          <w:b/>
        </w:rPr>
        <w:t>To</w:t>
      </w:r>
      <w:r>
        <w:t xml:space="preserve"> que forem usar — cada uma é um e-mail diferente, e as duas de BACC começam vazias.</w:t>
      </w:r>
    </w:p>
    <w:p>
      <w:pPr>
        <w:pStyle w:val="ListNumber"/>
      </w:pPr>
      <w:r>
        <w:t xml:space="preserve">O anexo dos dois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arquivo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</w:t>
      </w:r>
    </w:p>
    <w:p>
      <w:pPr>
        <w:ind w:left="360"/>
        <w:shd w:val="clear" w:fill="EAF2FB"/>
      </w:pPr>
      <w:r>
        <w:rPr>
          <w:b/>
          <w:color w:val="1A3A5A"/>
        </w:rPr>
        <w:t>BACC e BACC HUB EQT MO são destinos diferentes, e o conteúdo é diferente.</w:t>
      </w:r>
      <w:r>
        <w:rPr>
          <w:color w:val="1A3A5A"/>
        </w:rPr>
        <w:t xml:space="preserve"> O BACC recebe o </w:t>
      </w:r>
      <w:r>
        <w:rPr>
          <w:b/>
          <w:color w:val="1A3A5A"/>
        </w:rPr>
        <w:t>recorte</w:t>
      </w:r>
      <w:r>
        <w:rPr>
          <w:color w:val="1A3A5A"/>
        </w:rPr>
        <w:t xml:space="preserve"> do intragrupo — quem diz isso é o corpo do e-mail, com a contagem em cada linha da tabela (*"— 12 of 480 line(s)"*). O BACC HUB recebe a </w:t>
      </w:r>
      <w:r>
        <w:rPr>
          <w:b/>
          <w:color w:val="1A3A5A"/>
        </w:rPr>
        <w:t>posição cheia</w:t>
      </w:r>
      <w:r>
        <w:rPr>
          <w:color w:val="1A3A5A"/>
        </w:rPr>
        <w:t>, sem contagem nenhuma na tabela, porque não houve corte: é com ela que a posição é reconciliada, e um arquivo filtrado bateria contra uma posição que não é a que a CETIP publicou.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endereço no To, o e-mail simplesmente não sai</w:t>
      </w:r>
      <w:r>
        <w:rPr>
          <w:color w:val="1A3A5A"/>
        </w:rPr>
        <w:t xml:space="preserve"> — vale para os dois BACC, e o card mostra isso em vez de deixar você achando que foi enviado. Sales Support e CEM Latam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"Not found" quer dizer coisas diferentes nos dois.</w:t>
      </w:r>
      <w:r>
        <w:rPr>
          <w:color w:val="1A3A5A"/>
        </w:rPr>
        <w:t xml:space="preserve"> No BACC, o sistema não conseguiu localizar no arquivo as colunas de parte e contraparte, e por isso </w:t>
      </w:r>
      <w:r>
        <w:rPr>
          <w:b/>
          <w:color w:val="1A3A5A"/>
        </w:rPr>
        <w:t>não anexou</w:t>
      </w:r>
      <w:r>
        <w:rPr>
          <w:color w:val="1A3A5A"/>
        </w:rPr>
        <w:t xml:space="preserve"> aquele arquivo — mandar o arquivo cheio com o nome de um recorte seria pior; avise o time de tecnologia. No BACC HUB, quer dizer que o arquivo </w:t>
      </w:r>
      <w:r>
        <w:rPr>
          <w:b/>
          <w:color w:val="1A3A5A"/>
        </w:rPr>
        <w:t>não estava na pasta do dia</w:t>
      </w:r>
      <w:r>
        <w:rPr>
          <w:color w:val="1A3A5A"/>
        </w:rPr>
        <w:t>: rode antes o *Save CETIP Files* e confira se a CETIP publicou aquele arquivo.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3.18.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