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y34kkh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lw9p2l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wbz28f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myvnxq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dsefta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 O arquivo sai sempre com o nome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&lt;Tela ou tabela&gt; - OTC Tracker - OTC Processing System</w:t>
      </w:r>
      <w:r>
        <w:rPr>
          <w:color w:val="1A3A5A"/>
        </w:rPr>
        <w:t xml:space="preserve"> (no Mapping, o cadastro aberto), sem</w:t>
      </w:r>
    </w:p>
    <w:p>
      <w:pPr>
        <w:ind w:left="360"/>
        <w:shd w:val="clear" w:fill="EAF2FB"/>
      </w:pPr>
      <w:r>
        <w:rPr>
          <w:color w:val="1A3A5A"/>
        </w:rPr>
        <w:t>data, e o mesmo texto é o título dentro do Excel, do PDF e da impressão.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u8bc5u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r4kz_r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0ljcsv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t7lqta_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(pega os arquivos brutos da B3 na pasta </w:t>
            </w:r>
            <w:r>
              <w:rPr>
                <w:rFonts w:ascii="Consolas" w:hAnsi="Consolas"/>
                <w:color w:val="B03060"/>
              </w:rPr>
              <w:t>Batch Conecta › Return</w:t>
            </w:r>
            <w:r>
              <w:t xml:space="preserve"> — compactados, no nome </w:t>
            </w:r>
            <w:r>
              <w:rPr>
                <w:rFonts w:ascii="Consolas" w:hAnsi="Consolas"/>
                <w:color w:val="B03060"/>
              </w:rPr>
              <w:t>73760_&lt;sistema&gt;_&lt;data&gt;_SP_&lt;arquivo&gt;</w:t>
            </w:r>
            <w:r>
              <w:t xml:space="preserve"> —, guarda os originais na pasta de origem do dia, renomeia no padrão e salva nas pastas de liquidação, e tira da Return os que trouxe;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y34kkh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 xml:space="preserve">, que limpa os funis só dela. O botão </w:t>
      </w:r>
      <w:r>
        <w:rPr>
          <w:b/>
        </w:rPr>
        <w:t>Import settlement</w:t>
      </w:r>
      <w:r>
        <w:t xml:space="preserve">, ao lado da data, traz as liquidações do dia da Athena sem sair da tela (o mesmo import do NDF Cockpit). O IR (0,005%) segue o </w:t>
      </w:r>
      <w:r>
        <w:rPr>
          <w:b/>
        </w:rPr>
        <w:t>piso de R$ 1,00 do mês</w:t>
      </w:r>
      <w:r>
        <w:t xml:space="preserve"> por contraparte: abaixo dele não se retém e acumula; ao alcançá-lo, retém-se a soma — e, </w:t>
      </w:r>
      <w:r>
        <w:rPr>
          <w:b/>
        </w:rPr>
        <w:t>alcançado o piso, toda liquidação seguinte da contraparte no mês retém</w:t>
      </w:r>
      <w:r>
        <w:t>, mesmo centavos.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wbz28f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lw9p2l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rxfuon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bg72hy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cf3u1b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myvnxq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xv99q5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wb9w96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0k5lo4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1p4pue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 O SWAP casa até R$ 20,00 (o lado do banco é líquido do IR regressivo). As tabelas Pending Payment, Pending Receivement e Settled têm o funil no cabeçalho, e a linha que casou dentro da tolerância sem bater no centavo traz a marca </w:t>
      </w:r>
      <w:r>
        <w:rPr>
          <w:b/>
        </w:rPr>
        <w:t>Tolerance</w:t>
      </w:r>
      <w:r>
        <w:t xml:space="preserve">, com a diferença ao passar o mouse. A pasta de insumos guarda </w:t>
      </w:r>
      <w:r>
        <w:rPr>
          <w:b/>
        </w:rPr>
        <w:t>um arquivo de cada tipo</w:t>
      </w:r>
      <w:r>
        <w:t xml:space="preserve"> (HistoricoMensagens JPM, HistoricoMensagens MGT, cashflows, RLDOCREC…): o que entra pelo dropzone substitui o do mesmo tipo, e com dois na pasta vale o salvo por último — o mais antigo é apagado.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kxf9yb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5ibq1i_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0m9bw6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odc2_0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7wczow_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rmk3dzj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ja1_py_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dsefta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o4z79qu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avn5wg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4p1uuiu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wceujf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qjbylc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x0opqi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 — processo</w:t>
      </w:r>
    </w:p>
    <w:p>
      <w:r>
        <w:t>SEPARADO do lote de liquidação da manhã. A recompra entra pela **API de</w:t>
      </w:r>
    </w:p>
    <w:p>
      <w:r>
        <w:t>liquidação do Athena</w:t>
      </w:r>
      <w:r>
        <w:rPr>
          <w:b/>
        </w:rPr>
        <w:t xml:space="preserve"> (a mesma do NDF Cockpit), que traz o </w:t>
      </w:r>
      <w:r>
        <w:t>B3 ID** do</w:t>
      </w:r>
    </w:p>
    <w:p>
      <w:r>
        <w:t>contrato: a tela a puxa sozinha de 30 em 30 minutos, das 08h às 20h, ou no</w:t>
      </w:r>
    </w:p>
    <w:p>
      <w:r>
        <w:rPr>
          <w:b/>
        </w:rPr>
        <w:t>Import</w:t>
      </w:r>
      <w:r>
        <w:t xml:space="preserve"> com o dropzone vazio. Ela pede a data e o dia útil seguinte e grava</w:t>
      </w:r>
    </w:p>
    <w:p>
      <w:r>
        <w:t>só as recompras novas. A tela casa a operação com o Live Position de NDF pelo</w:t>
      </w:r>
    </w:p>
    <w:p>
      <w:r>
        <w:t xml:space="preserve">B3 ID, </w:t>
      </w:r>
      <w:r>
        <w:rPr>
          <w:b/>
        </w:rPr>
        <w:t>confere o resultado apurado</w:t>
      </w:r>
      <w:r>
        <w:t xml:space="preserve"> e monta o arquivo TER 0014 (antecipação</w:t>
      </w:r>
    </w:p>
    <w:p>
      <w:r>
        <w:t>de contrato a termo, 133 caracteres) para o Batch Conecta. O e-mail do Athena</w:t>
      </w:r>
    </w:p>
    <w:p>
      <w:r>
        <w:t>(*BRL NDF Unwind Notification*) fica como plano B: arrastado para o dropzone</w:t>
      </w:r>
    </w:p>
    <w:p>
      <w:r>
        <w:t>quando a API não responder.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A recompra de Opção de Commodities e a de Swap EDG seguem o mesmo ciclo: contra o cliente, Termo de Resilição e esteira; contra Atacama/Lawton, a Intrag › Unwind; a liquidação no Other Products e no Settlement Advice de opção e de swap, com o aviso de recompra. Swap CEM, Options FXO/EDG, COE e DCE ainda não têm Termo nem esteira.</w:t>
      </w:r>
    </w:p>
    <w:p>
      <w:r>
        <w:t xml:space="preserve">A de </w:t>
      </w:r>
      <w:r>
        <w:rPr>
          <w:b/>
        </w:rPr>
        <w:t>Options Commodities</w:t>
      </w:r>
      <w:r>
        <w:t xml:space="preserve"> lê o e-mail da mesa (*INTERNAL JPMorgan Trade</w:t>
      </w:r>
    </w:p>
    <w:p>
      <w:r>
        <w:t xml:space="preserve">Recap … Unwind*), uma tabela por perna: </w:t>
      </w:r>
      <w:r>
        <w:rPr>
          <w:b/>
        </w:rPr>
        <w:t>Client</w:t>
      </w:r>
      <w:r>
        <w:t xml:space="preserve"> (a operação com o cliente) e</w:t>
      </w:r>
    </w:p>
    <w:p>
      <w:r>
        <w:rPr>
          <w:b/>
        </w:rPr>
        <w:t>Banco</w:t>
      </w:r>
      <w:r>
        <w:t xml:space="preserve"> (o B2B Banco × Lawton). O e-mail não traz o B3 ID — a coluna</w:t>
      </w:r>
    </w:p>
    <w:p>
      <w:r>
        <w:t>*Contract* é o mês do futuro —, e cada perna é achada no Live Position pelas</w:t>
      </w:r>
    </w:p>
    <w:p>
      <w:r>
        <w:t>características (strike, quantidade original, Call/Put), só entre os contratos</w:t>
      </w:r>
    </w:p>
    <w:p>
      <w:r>
        <w:t>do seu tipo; nome do cliente e datas da opção desempatam, e mais de um</w:t>
      </w:r>
    </w:p>
    <w:p>
      <w:r>
        <w:t>candidato deixa a linha sem B3 ID, avisando. Quantidade em unidades da</w:t>
      </w:r>
    </w:p>
    <w:p>
      <w:r>
        <w:t xml:space="preserve">mercadoria; prêmio em USD por unidade e a paridade na coluna </w:t>
      </w:r>
      <w:r>
        <w:rPr>
          <w:b/>
        </w:rPr>
        <w:t>FX Rate</w:t>
      </w:r>
      <w:r>
        <w:t>, como</w:t>
      </w:r>
    </w:p>
    <w:p>
      <w:r>
        <w:t>vieram no e-mail; sinal do banco (no B2B, o contrário da perna Client).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svne0f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bnxuji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1fg7nt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gzfq7q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5d5kdij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gk1sql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l760lrx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djttd6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  <w:r>
        <w:t xml:space="preserve"> — *implementado* (o IR das liquidações por decêndio — NDF Summary + Other Products — batido com o relatório "Posição de Tributos" do HUB; o arquivo para o HUB inserir o que falta; HANDOFF §692)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