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kr8ig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2ky1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7s6aq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adbss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75t9f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olj99g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7__nj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akimsv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8t5n3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>Save CETIP Files (lê os arquivos brutos da B3, renomeia no padrão e salva nas pastas de liquidação)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0kr8ig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>Batch de liquidação de NDF do dia. Os cards Vanilla / Other Publisher / T+0 / Total classificam a posição. As grades editáveis "Settlement Summary" e "Trade Level" permitem adicionar, editar, remover e confirmar linhas antes de gerar o batch.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7s6aq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s2ky1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>Resumo consolidado dos demais produtos (COE, NDF, Option, Swap) com widgets de total, vencimentos (maturity), prêmio e fluxo por produto.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lchu4y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2wtkud_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y6_g_g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adbss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l7q79n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f1j3g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01haxm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cmj12o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>Concilia os valores a pagar e a receber (Pay/Rec), apontando as diferenças a tratar antes do encerramento.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8h_7qx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sng_ge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qd2ym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1u4gvmj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yuzl3d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u7hbid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86way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75t9f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b4s7_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cln23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734cij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h5bf22x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zw07w9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82ppd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New Deals Monitor</w:t>
      </w:r>
      <w:r>
        <w:t xml:space="preserve"> (card *Unwind NDF FX*, na</w:t>
      </w:r>
    </w:p>
    <w:p>
      <w:r>
        <w:t>coluna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Em construção nesta fase:</w:t>
      </w:r>
      <w:r>
        <w:rPr>
          <w:color w:val="1A3A5A"/>
        </w:rPr>
        <w:t xml:space="preserve"> Termo de Resilição, arquivo da Intrag, entrada</w:t>
      </w:r>
    </w:p>
    <w:p>
      <w:pPr>
        <w:ind w:left="360"/>
        <w:shd w:val="clear" w:fill="EAF2FB"/>
      </w:pPr>
      <w:r>
        <w:rPr>
          <w:color w:val="1A3A5A"/>
        </w:rPr>
        <w:t>na esteira de confirmação e no Summary de NDF. Até que entrem, essas etapas</w:t>
      </w:r>
    </w:p>
    <w:p>
      <w:pPr>
        <w:ind w:left="360"/>
        <w:shd w:val="clear" w:fill="EAF2FB"/>
      </w:pPr>
      <w:r>
        <w:rPr>
          <w:color w:val="1A3A5A"/>
        </w:rPr>
        <w:t>seguem por fora do sistema.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5l0o9u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9kq5e8c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fec0euz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tvt16b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00_n80i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mbc88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snqhxzk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7lve545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