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  <w:sz w:val="38"/>
        </w:rPr>
        <w:t>De-para de Tickers — Cotações (OTC Tracker)</w:t>
      </w:r>
    </w:p>
    <w:p>
      <w:pPr>
        <w:ind w:left="360"/>
        <w:shd w:val="clear" w:fill="EAF2FB"/>
      </w:pPr>
      <w:r>
        <w:rPr>
          <w:color w:val="1A3A5A"/>
        </w:rPr>
        <w:t xml:space="preserve">Registro do de-para entre o </w:t>
      </w:r>
      <w:r>
        <w:rPr>
          <w:b/>
          <w:color w:val="1A3A5A"/>
        </w:rPr>
        <w:t>Código do Ativo Subjacente</w:t>
      </w:r>
      <w:r>
        <w:rPr>
          <w:color w:val="1A3A5A"/>
        </w:rPr>
        <w:t xml:space="preserve"> (o mesmo do Index B3)</w:t>
      </w:r>
    </w:p>
    <w:p>
      <w:pPr>
        <w:ind w:left="360"/>
        <w:shd w:val="clear" w:fill="EAF2FB"/>
      </w:pPr>
      <w:r>
        <w:rPr>
          <w:color w:val="1A3A5A"/>
        </w:rPr>
        <w:t xml:space="preserve">e o </w:t>
      </w:r>
      <w:r>
        <w:rPr>
          <w:b/>
          <w:color w:val="1A3A5A"/>
        </w:rPr>
        <w:t>símbolo de mercado</w:t>
      </w:r>
      <w:r>
        <w:rPr>
          <w:color w:val="1A3A5A"/>
        </w:rPr>
        <w:t xml:space="preserve"> que a página *Apps › Quotes* usa para buscar preço.</w:t>
      </w:r>
    </w:p>
    <w:p>
      <w:pPr>
        <w:ind w:left="360"/>
        <w:shd w:val="clear" w:fill="EAF2FB"/>
      </w:pPr>
      <w:r>
        <w:rPr>
          <w:color w:val="1A3A5A"/>
        </w:rPr>
        <w:t>Documento gerado dos cadastros vivos em 18/08/2026.</w:t>
      </w:r>
    </w:p>
    <w:p>
      <w:pPr>
        <w:pStyle w:val="Heading2"/>
      </w:pPr>
      <w:r>
        <w:rPr>
          <w:color w:val="0066CC"/>
          <w:sz w:val="30"/>
        </w:rPr>
        <w:t>1. Onde este de-para vive</w:t>
      </w:r>
    </w:p>
    <w:p>
      <w:r>
        <w:t xml:space="preserve">O de-para </w:t>
      </w:r>
      <w:r>
        <w:rPr>
          <w:b/>
        </w:rPr>
        <w:t>não é código</w:t>
      </w:r>
      <w:r>
        <w:t xml:space="preserve">: é cadastro, editável na tela </w:t>
      </w:r>
      <w:r>
        <w:rPr>
          <w:rFonts w:ascii="Consolas" w:hAnsi="Consolas"/>
          <w:color w:val="B03060"/>
        </w:rPr>
        <w:t>/mapping</w:t>
      </w:r>
      <w:r>
        <w:t xml:space="preserve"> e válido no</w:t>
      </w:r>
    </w:p>
    <w:p>
      <w:r>
        <w:t>request seguinte, sem restart.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 xml:space="preserve">Cadastro (tela </w:t>
            </w:r>
            <w:r>
              <w:rPr>
                <w:rFonts w:ascii="Consolas" w:hAnsi="Consolas"/>
                <w:b/>
                <w:color w:val="FFFFFF"/>
              </w:rPr>
              <w:t>/mapping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Arquivo versionado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Linhas hoje</w:t>
            </w:r>
          </w:p>
        </w:tc>
      </w:tr>
      <w:tr>
        <w:tc>
          <w:tcPr>
            <w:tcW w:type="dxa" w:w="3312"/>
          </w:tcPr>
          <w:p>
            <w:r>
              <w:t>Quotes — Commodities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apps/static/data/mappings/quotes-commodity.json</w:t>
            </w:r>
          </w:p>
        </w:tc>
        <w:tc>
          <w:tcPr>
            <w:tcW w:type="dxa" w:w="3312"/>
          </w:tcPr>
          <w:p>
            <w:r>
              <w:t>17</w:t>
            </w:r>
          </w:p>
        </w:tc>
      </w:tr>
      <w:tr>
        <w:tc>
          <w:tcPr>
            <w:tcW w:type="dxa" w:w="3312"/>
          </w:tcPr>
          <w:p>
            <w:r>
              <w:t>Quotes — Equities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apps/static/data/mappings/quotes-equity.json</w:t>
            </w:r>
          </w:p>
        </w:tc>
        <w:tc>
          <w:tcPr>
            <w:tcW w:type="dxa" w:w="3312"/>
          </w:tcPr>
          <w:p>
            <w:r>
              <w:t>471</w:t>
            </w:r>
          </w:p>
        </w:tc>
      </w:tr>
    </w:tbl>
    <w:p/>
    <w:p>
      <w:r>
        <w:t xml:space="preserve">Três coisas que este cadastro </w:t>
      </w:r>
      <w:r>
        <w:rPr>
          <w:b/>
        </w:rPr>
        <w:t>não</w:t>
      </w:r>
      <w:r>
        <w:t xml:space="preserve"> é:</w:t>
      </w:r>
    </w:p>
    <w:p>
      <w:pPr>
        <w:pStyle w:val="ListBullet"/>
      </w:pPr>
      <w:r>
        <w:rPr>
          <w:b/>
        </w:rPr>
        <w:t>Não é a lista de instrumentos da tela.</w:t>
      </w:r>
      <w:r>
        <w:t xml:space="preserve"> Essa vem do </w:t>
      </w:r>
      <w:r>
        <w:rPr>
          <w:rFonts w:ascii="Consolas" w:hAnsi="Consolas"/>
          <w:color w:val="B03060"/>
        </w:rPr>
        <w:t>Subjacente.json</w:t>
      </w:r>
      <w:r>
        <w:t xml:space="preserve"> do</w:t>
      </w:r>
    </w:p>
    <w:p>
      <w:r>
        <w:t xml:space="preserve">  Index B3 ao vivo, separada pelo campo </w:t>
      </w:r>
      <w:r>
        <w:rPr>
          <w:rFonts w:ascii="Consolas" w:hAnsi="Consolas"/>
          <w:color w:val="B03060"/>
        </w:rPr>
        <w:t>Classe</w:t>
      </w:r>
      <w:r>
        <w:t xml:space="preserve"> e só os </w:t>
      </w:r>
      <w:r>
        <w:rPr>
          <w:rFonts w:ascii="Consolas" w:hAnsi="Consolas"/>
          <w:color w:val="B03060"/>
        </w:rPr>
        <w:t>ACTIVE</w:t>
      </w:r>
      <w:r>
        <w:t xml:space="preserve"> — ativo novo</w:t>
      </w:r>
    </w:p>
    <w:p>
      <w:r>
        <w:t xml:space="preserve">  cadastrado no Index B3 aparece em Cotações no mesmo dia. Este cadastro só</w:t>
      </w:r>
    </w:p>
    <w:p>
      <w:r>
        <w:t xml:space="preserve">  TRADUZ o código em símbolo.</w:t>
      </w:r>
    </w:p>
    <w:p>
      <w:pPr>
        <w:pStyle w:val="ListBullet"/>
      </w:pPr>
      <w:r>
        <w:rPr>
          <w:b/>
        </w:rPr>
        <w:t>Não cobre a PTAX.</w:t>
      </w:r>
      <w:r>
        <w:t xml:space="preserve"> A lista de moedas do BCB é o domínio do endpoint</w:t>
      </w:r>
    </w:p>
    <w:p>
      <w:r>
        <w:t xml:space="preserve">  (Olinda), não um de-para.</w:t>
      </w:r>
    </w:p>
    <w:p>
      <w:pPr>
        <w:pStyle w:val="ListBullet"/>
      </w:pPr>
      <w:r>
        <w:rPr>
          <w:b/>
        </w:rPr>
        <w:t>Não é um wrapper de `yfinance`.</w:t>
      </w:r>
      <w:r>
        <w:t xml:space="preserve"> O app fala direto com o endpoint </w:t>
      </w:r>
      <w:r>
        <w:rPr>
          <w:rFonts w:ascii="Consolas" w:hAnsi="Consolas"/>
          <w:color w:val="B03060"/>
        </w:rPr>
        <w:t>chart</w:t>
      </w:r>
    </w:p>
    <w:p>
      <w:r>
        <w:t xml:space="preserve">  do Yahoo Finance, com a mesma sessão autenticada da Athena. O de-para é o</w:t>
      </w:r>
    </w:p>
    <w:p>
      <w:r>
        <w:t xml:space="preserve">  mesmo que a biblioteca usaria — o símbolo é do Yahoo, não da lib.</w:t>
      </w:r>
    </w:p>
    <w:p>
      <w:r>
        <w:t xml:space="preserve">Código sem símbolo cadastrado devolve </w:t>
      </w:r>
      <w:r>
        <w:rPr>
          <w:b/>
        </w:rPr>
        <w:t>404 pedindo cadastro</w:t>
      </w:r>
      <w:r>
        <w:t>; o app nunca</w:t>
      </w:r>
    </w:p>
    <w:p>
      <w:r>
        <w:t>tenta o código B3 como se fosse ticker.</w:t>
      </w:r>
    </w:p>
    <w:p>
      <w:pPr>
        <w:pStyle w:val="Heading2"/>
      </w:pPr>
      <w:r>
        <w:rPr>
          <w:color w:val="0066CC"/>
          <w:sz w:val="30"/>
        </w:rPr>
        <w:t>2. Sufixo de bolsa do Yahoo Finance</w:t>
      </w:r>
    </w:p>
    <w:p>
      <w:r>
        <w:t xml:space="preserve">O símbolo do Yahoo é </w:t>
      </w:r>
      <w:r>
        <w:rPr>
          <w:rFonts w:ascii="Consolas" w:hAnsi="Consolas"/>
          <w:color w:val="B03060"/>
        </w:rPr>
        <w:t>TICKER</w:t>
      </w:r>
      <w:r>
        <w:t xml:space="preserve"> + sufixo da bolsa. Sufixo errado é 404, não preço</w:t>
      </w:r>
    </w:p>
    <w:p>
      <w:r>
        <w:t>errado. Os que aparecem neste de-para, conforme a página oficial de bolsas e</w:t>
      </w:r>
    </w:p>
    <w:p>
      <w:r>
        <w:t>provedores do Yahoo Finance: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Sufixo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Bolsa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Onde aparece aqui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.CBT</w:t>
            </w:r>
          </w:p>
        </w:tc>
        <w:tc>
          <w:tcPr>
            <w:tcW w:type="dxa" w:w="3312"/>
          </w:tcPr>
          <w:p>
            <w:r>
              <w:t>Chicago Board of Trade (CBOT)</w:t>
            </w:r>
          </w:p>
        </w:tc>
        <w:tc>
          <w:tcPr>
            <w:tcW w:type="dxa" w:w="3312"/>
          </w:tcPr>
          <w:p>
            <w:r>
              <w:t>grãos — milho, soja, óleo de soja, trigo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.NYB</w:t>
            </w:r>
          </w:p>
        </w:tc>
        <w:tc>
          <w:tcPr>
            <w:tcW w:type="dxa" w:w="3312"/>
          </w:tcPr>
          <w:p>
            <w:r>
              <w:t>ICE Futures US</w:t>
            </w:r>
          </w:p>
        </w:tc>
        <w:tc>
          <w:tcPr>
            <w:tcW w:type="dxa" w:w="3312"/>
          </w:tcPr>
          <w:p>
            <w:r>
              <w:t>softs — café, açúcar, cacau, algodão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.NYM</w:t>
            </w:r>
          </w:p>
        </w:tc>
        <w:tc>
          <w:tcPr>
            <w:tcW w:type="dxa" w:w="3312"/>
          </w:tcPr>
          <w:p>
            <w:r>
              <w:t>New York Mercantile Exchange (NYMEX)</w:t>
            </w:r>
          </w:p>
        </w:tc>
        <w:tc>
          <w:tcPr>
            <w:tcW w:type="dxa" w:w="3312"/>
          </w:tcPr>
          <w:p>
            <w:r>
              <w:t>petróleo Brent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.CME</w:t>
            </w:r>
          </w:p>
        </w:tc>
        <w:tc>
          <w:tcPr>
            <w:tcW w:type="dxa" w:w="3312"/>
          </w:tcPr>
          <w:p>
            <w:r>
              <w:t>Chicago Mercantile Exchange</w:t>
            </w:r>
          </w:p>
        </w:tc>
        <w:tc>
          <w:tcPr>
            <w:tcW w:type="dxa" w:w="3312"/>
          </w:tcPr>
          <w:p>
            <w:r>
              <w:t>não usado hoje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.CMX</w:t>
            </w:r>
          </w:p>
        </w:tc>
        <w:tc>
          <w:tcPr>
            <w:tcW w:type="dxa" w:w="3312"/>
          </w:tcPr>
          <w:p>
            <w:r>
              <w:t>COMEX</w:t>
            </w:r>
          </w:p>
        </w:tc>
        <w:tc>
          <w:tcPr>
            <w:tcW w:type="dxa" w:w="3312"/>
          </w:tcPr>
          <w:p>
            <w:r>
              <w:t>não usado hoje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.SA</w:t>
            </w:r>
          </w:p>
        </w:tc>
        <w:tc>
          <w:tcPr>
            <w:tcW w:type="dxa" w:w="3312"/>
          </w:tcPr>
          <w:p>
            <w:r>
              <w:t>Sao Paulo Stock Exchange (BOVESPA / B3)</w:t>
            </w:r>
          </w:p>
        </w:tc>
        <w:tc>
          <w:tcPr>
            <w:tcW w:type="dxa" w:w="3312"/>
          </w:tcPr>
          <w:p>
            <w:r>
              <w:t>ações e BDRs brasileiros</w:t>
            </w:r>
          </w:p>
        </w:tc>
      </w:tr>
      <w:tr>
        <w:tc>
          <w:tcPr>
            <w:tcW w:type="dxa" w:w="3312"/>
          </w:tcPr>
          <w:p>
            <w:r>
              <w:t>*(sem sufixo)*</w:t>
            </w:r>
          </w:p>
        </w:tc>
        <w:tc>
          <w:tcPr>
            <w:tcW w:type="dxa" w:w="3312"/>
          </w:tcPr>
          <w:p>
            <w:r>
              <w:t>bolsas dos EUA (NYSE, NASDAQ)</w:t>
            </w:r>
          </w:p>
        </w:tc>
        <w:tc>
          <w:tcPr>
            <w:tcW w:type="dxa" w:w="3312"/>
          </w:tcPr>
          <w:p>
            <w:r>
              <w:t>ações internacionais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^</w:t>
            </w:r>
            <w:r>
              <w:t xml:space="preserve"> (prefixo)</w:t>
            </w:r>
          </w:p>
        </w:tc>
        <w:tc>
          <w:tcPr>
            <w:tcW w:type="dxa" w:w="3312"/>
          </w:tcPr>
          <w:p>
            <w:r>
              <w:t>índice, não papel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^BVSP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^GSPC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^NDX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=F</w:t>
            </w:r>
            <w:r>
              <w:t xml:space="preserve"> (sufixo)</w:t>
            </w:r>
          </w:p>
        </w:tc>
        <w:tc>
          <w:tcPr>
            <w:tcW w:type="dxa" w:w="3312"/>
          </w:tcPr>
          <w:p>
            <w:r>
              <w:t xml:space="preserve">contrato futuro </w:t>
            </w:r>
            <w:r>
              <w:rPr>
                <w:b/>
              </w:rPr>
              <w:t>contínuo</w:t>
            </w:r>
            <w:r>
              <w:t xml:space="preserve"> (1º vencimento)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ZC=F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BZ=F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.PA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.AS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.L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.DE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.MI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.MC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.TO</w:t>
            </w:r>
          </w:p>
        </w:tc>
        <w:tc>
          <w:tcPr>
            <w:tcW w:type="dxa" w:w="3312"/>
          </w:tcPr>
          <w:p>
            <w:r>
              <w:t>Paris, Amsterdã, Londres, XETRA, Milão, Madri, Toronto</w:t>
            </w:r>
          </w:p>
        </w:tc>
        <w:tc>
          <w:tcPr>
            <w:tcW w:type="dxa" w:w="3312"/>
          </w:tcPr>
          <w:p>
            <w:r>
              <w:t>ver §6 (pendência)</w:t>
            </w:r>
          </w:p>
        </w:tc>
      </w:tr>
    </w:tbl>
    <w:p/>
    <w:p>
      <w:pPr>
        <w:pStyle w:val="Heading2"/>
      </w:pPr>
      <w:r>
        <w:rPr>
          <w:color w:val="0066CC"/>
          <w:sz w:val="30"/>
        </w:rPr>
        <w:t>3. Código de mês do contrato futuro</w:t>
      </w:r>
    </w:p>
    <w:p>
      <w:r>
        <w:t xml:space="preserve">Padrão de mercado, igual nos dois lados (B3 e Yahoo) — é só o </w:t>
      </w:r>
      <w:r>
        <w:rPr>
          <w:b/>
        </w:rPr>
        <w:t>ano</w:t>
      </w:r>
      <w:r>
        <w:t xml:space="preserve"> que muda</w:t>
      </w:r>
    </w:p>
    <w:p>
      <w:r>
        <w:t>de largura.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066CC"/>
          </w:tcPr>
          <w:p>
            <w:r>
              <w:rPr>
                <w:b/>
                <w:color w:val="FFFFFF"/>
              </w:rPr>
              <w:t>Mês</w:t>
            </w:r>
          </w:p>
        </w:tc>
        <w:tc>
          <w:tcPr>
            <w:tcW w:type="dxa" w:w="2484"/>
            <w:shd w:val="clear" w:fill="0066CC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484"/>
            <w:shd w:val="clear" w:fill="0066CC"/>
          </w:tcPr>
          <w:p>
            <w:r>
              <w:rPr>
                <w:b/>
                <w:color w:val="FFFFFF"/>
              </w:rPr>
              <w:t>Mês</w:t>
            </w:r>
          </w:p>
        </w:tc>
        <w:tc>
          <w:tcPr>
            <w:tcW w:type="dxa" w:w="2484"/>
            <w:shd w:val="clear" w:fill="0066CC"/>
          </w:tcPr>
          <w:p>
            <w:r>
              <w:rPr>
                <w:b/>
                <w:color w:val="FFFFFF"/>
              </w:rPr>
              <w:t>Código</w:t>
            </w:r>
          </w:p>
        </w:tc>
      </w:tr>
      <w:tr>
        <w:tc>
          <w:tcPr>
            <w:tcW w:type="dxa" w:w="2484"/>
          </w:tcPr>
          <w:p>
            <w:r>
              <w:t>Janeiro</w:t>
            </w:r>
          </w:p>
        </w:tc>
        <w:tc>
          <w:tcPr>
            <w:tcW w:type="dxa" w:w="2484"/>
          </w:tcPr>
          <w:p>
            <w:r>
              <w:t>F</w:t>
            </w:r>
          </w:p>
        </w:tc>
        <w:tc>
          <w:tcPr>
            <w:tcW w:type="dxa" w:w="2484"/>
          </w:tcPr>
          <w:p>
            <w:r>
              <w:t>Julho</w:t>
            </w:r>
          </w:p>
        </w:tc>
        <w:tc>
          <w:tcPr>
            <w:tcW w:type="dxa" w:w="2484"/>
          </w:tcPr>
          <w:p>
            <w:r>
              <w:t>N</w:t>
            </w:r>
          </w:p>
        </w:tc>
      </w:tr>
      <w:tr>
        <w:tc>
          <w:tcPr>
            <w:tcW w:type="dxa" w:w="2484"/>
          </w:tcPr>
          <w:p>
            <w:r>
              <w:t>Fevereiro</w:t>
            </w:r>
          </w:p>
        </w:tc>
        <w:tc>
          <w:tcPr>
            <w:tcW w:type="dxa" w:w="2484"/>
          </w:tcPr>
          <w:p>
            <w:r>
              <w:t>G</w:t>
            </w:r>
          </w:p>
        </w:tc>
        <w:tc>
          <w:tcPr>
            <w:tcW w:type="dxa" w:w="2484"/>
          </w:tcPr>
          <w:p>
            <w:r>
              <w:t>Agosto</w:t>
            </w:r>
          </w:p>
        </w:tc>
        <w:tc>
          <w:tcPr>
            <w:tcW w:type="dxa" w:w="2484"/>
          </w:tcPr>
          <w:p>
            <w:r>
              <w:t>Q</w:t>
            </w:r>
          </w:p>
        </w:tc>
      </w:tr>
      <w:tr>
        <w:tc>
          <w:tcPr>
            <w:tcW w:type="dxa" w:w="2484"/>
          </w:tcPr>
          <w:p>
            <w:r>
              <w:t>Março</w:t>
            </w:r>
          </w:p>
        </w:tc>
        <w:tc>
          <w:tcPr>
            <w:tcW w:type="dxa" w:w="2484"/>
          </w:tcPr>
          <w:p>
            <w:r>
              <w:t>H</w:t>
            </w:r>
          </w:p>
        </w:tc>
        <w:tc>
          <w:tcPr>
            <w:tcW w:type="dxa" w:w="2484"/>
          </w:tcPr>
          <w:p>
            <w:r>
              <w:t>Setembro</w:t>
            </w:r>
          </w:p>
        </w:tc>
        <w:tc>
          <w:tcPr>
            <w:tcW w:type="dxa" w:w="2484"/>
          </w:tcPr>
          <w:p>
            <w:r>
              <w:t>U</w:t>
            </w:r>
          </w:p>
        </w:tc>
      </w:tr>
      <w:tr>
        <w:tc>
          <w:tcPr>
            <w:tcW w:type="dxa" w:w="2484"/>
          </w:tcPr>
          <w:p>
            <w:r>
              <w:t>Abril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Outubro</w:t>
            </w:r>
          </w:p>
        </w:tc>
        <w:tc>
          <w:tcPr>
            <w:tcW w:type="dxa" w:w="2484"/>
          </w:tcPr>
          <w:p>
            <w:r>
              <w:t>V</w:t>
            </w:r>
          </w:p>
        </w:tc>
      </w:tr>
      <w:tr>
        <w:tc>
          <w:tcPr>
            <w:tcW w:type="dxa" w:w="2484"/>
          </w:tcPr>
          <w:p>
            <w:r>
              <w:t>Maio</w:t>
            </w:r>
          </w:p>
        </w:tc>
        <w:tc>
          <w:tcPr>
            <w:tcW w:type="dxa" w:w="2484"/>
          </w:tcPr>
          <w:p>
            <w:r>
              <w:t>K</w:t>
            </w:r>
          </w:p>
        </w:tc>
        <w:tc>
          <w:tcPr>
            <w:tcW w:type="dxa" w:w="2484"/>
          </w:tcPr>
          <w:p>
            <w:r>
              <w:t>Novembro</w:t>
            </w:r>
          </w:p>
        </w:tc>
        <w:tc>
          <w:tcPr>
            <w:tcW w:type="dxa" w:w="2484"/>
          </w:tcPr>
          <w:p>
            <w:r>
              <w:t>X</w:t>
            </w:r>
          </w:p>
        </w:tc>
      </w:tr>
      <w:tr>
        <w:tc>
          <w:tcPr>
            <w:tcW w:type="dxa" w:w="2484"/>
          </w:tcPr>
          <w:p>
            <w:r>
              <w:t>Junho</w:t>
            </w:r>
          </w:p>
        </w:tc>
        <w:tc>
          <w:tcPr>
            <w:tcW w:type="dxa" w:w="2484"/>
          </w:tcPr>
          <w:p>
            <w:r>
              <w:t>M</w:t>
            </w:r>
          </w:p>
        </w:tc>
        <w:tc>
          <w:tcPr>
            <w:tcW w:type="dxa" w:w="2484"/>
          </w:tcPr>
          <w:p>
            <w:r>
              <w:t>Dezembro</w:t>
            </w:r>
          </w:p>
        </w:tc>
        <w:tc>
          <w:tcPr>
            <w:tcW w:type="dxa" w:w="2484"/>
          </w:tcPr>
          <w:p>
            <w:r>
              <w:t>Z</w:t>
            </w:r>
          </w:p>
        </w:tc>
      </w:tr>
    </w:tbl>
    <w:p/>
    <w:p>
      <w:pPr>
        <w:pStyle w:val="Heading2"/>
      </w:pPr>
      <w:r>
        <w:rPr>
          <w:color w:val="0066CC"/>
          <w:sz w:val="30"/>
        </w:rPr>
        <w:t>4. Commodities — uma linha por mercadoria, não por vencimento</w:t>
      </w:r>
    </w:p>
    <w:p>
      <w:r>
        <w:t>Contrato futuro tem vencimento, e o de-para por código fechado pedia **uma</w:t>
      </w:r>
    </w:p>
    <w:p>
      <w:r>
        <w:t>linha por mês de cada mercadoria** — 70 linhas para 10 mercadorias, mais uma</w:t>
      </w:r>
    </w:p>
    <w:p>
      <w:r>
        <w:t>linha nova a cada vencimento que a B3 abrisse.</w:t>
      </w:r>
    </w:p>
    <w:p>
      <w:r>
        <w:t xml:space="preserve">As duas colunas do cadastro aceitam o </w:t>
      </w:r>
      <w:r>
        <w:rPr>
          <w:b/>
        </w:rPr>
        <w:t>padrão `"MY"`</w:t>
      </w:r>
      <w:r>
        <w:t>, a mesma notação do</w:t>
      </w:r>
    </w:p>
    <w:p>
      <w:r>
        <w:t>cadastro *Commodities × B3*:</w:t>
      </w:r>
    </w:p>
    <w:p>
      <w:pPr>
        <w:pStyle w:val="ListBullet"/>
      </w:pPr>
      <w:r>
        <w:rPr>
          <w:rFonts w:ascii="Consolas" w:hAnsi="Consolas"/>
          <w:color w:val="B03060"/>
        </w:rPr>
        <w:t>"MY"</w:t>
      </w:r>
      <w:r>
        <w:t xml:space="preserve"> (entre aspas) = onde entram a </w:t>
      </w:r>
      <w:r>
        <w:rPr>
          <w:b/>
        </w:rPr>
        <w:t>letra do mês</w:t>
      </w:r>
      <w:r>
        <w:t xml:space="preserve"> e o </w:t>
      </w:r>
      <w:r>
        <w:rPr>
          <w:b/>
        </w:rPr>
        <w:t>ano</w:t>
      </w:r>
      <w:r>
        <w:t>;</w:t>
      </w:r>
    </w:p>
    <w:p>
      <w:pPr>
        <w:pStyle w:val="ListBullet"/>
      </w:pPr>
      <w:r>
        <w:rPr>
          <w:rFonts w:ascii="Consolas" w:hAnsi="Consolas"/>
          <w:color w:val="B03060"/>
        </w:rPr>
        <w:t>_</w:t>
      </w:r>
      <w:r>
        <w:t xml:space="preserve"> = um </w:t>
      </w:r>
      <w:r>
        <w:rPr>
          <w:b/>
        </w:rPr>
        <w:t>espaço literal</w:t>
      </w:r>
      <w:r>
        <w:t xml:space="preserve"> no código B3 (o milho na B3 é </w:t>
      </w:r>
      <w:r>
        <w:rPr>
          <w:rFonts w:ascii="Consolas" w:hAnsi="Consolas"/>
          <w:color w:val="B03060"/>
        </w:rPr>
        <w:t xml:space="preserve">C </w:t>
      </w:r>
      <w:r>
        <w:t xml:space="preserve"> com espaço).</w:t>
      </w:r>
    </w:p>
    <w:p>
      <w:pPr>
        <w:shd w:val="clear" w:fill="F2F3F5"/>
      </w:pPr>
      <w:r>
        <w:rPr>
          <w:rFonts w:ascii="Consolas" w:hAnsi="Consolas"/>
          <w:sz w:val="18"/>
        </w:rPr>
        <w:t xml:space="preserve">   cadastro                        resultado</w:t>
        <w:br/>
        <w:t xml:space="preserve">   BO"MY"  →  ZL"MY".CBT           BOK6   →  ZLK26.CBT</w:t>
        <w:br/>
        <w:t xml:space="preserve">   C_"MY"  →  ZC"MY".CBT           C K6   →  ZCK26.CBT</w:t>
        <w:br/>
        <w:t xml:space="preserve">   CO"MY"  →  BZ"MY".NYM           COZ29  →  BZZ29.NYM</w:t>
      </w:r>
    </w:p>
    <w:p>
      <w:r>
        <w:t>Duas assimetrias que o padrão resolve sozinho:</w:t>
      </w:r>
    </w:p>
    <w:p>
      <w:pPr>
        <w:pStyle w:val="ListNumber"/>
      </w:pPr>
      <w:r>
        <w:rPr>
          <w:b/>
        </w:rPr>
        <w:t>O ano tem larguras diferentes nos dois lados.</w:t>
      </w:r>
      <w:r>
        <w:t xml:space="preserve"> A B3 escreve um dígito</w:t>
      </w:r>
    </w:p>
    <w:p>
      <w:r>
        <w:t xml:space="preserve">   (</w:t>
      </w:r>
      <w:r>
        <w:rPr>
          <w:rFonts w:ascii="Consolas" w:hAnsi="Consolas"/>
          <w:color w:val="B03060"/>
        </w:rPr>
        <w:t>BOK6</w:t>
      </w:r>
      <w:r>
        <w:t>) ou dois (</w:t>
      </w:r>
      <w:r>
        <w:rPr>
          <w:rFonts w:ascii="Consolas" w:hAnsi="Consolas"/>
          <w:color w:val="B03060"/>
        </w:rPr>
        <w:t>COZ29</w:t>
      </w:r>
      <w:r>
        <w:t>); o Yahoo escreve sempre dois (</w:t>
      </w:r>
      <w:r>
        <w:rPr>
          <w:rFonts w:ascii="Consolas" w:hAnsi="Consolas"/>
          <w:color w:val="B03060"/>
        </w:rPr>
        <w:t>ZLK26</w:t>
      </w:r>
      <w:r>
        <w:t>). O dígito</w:t>
      </w:r>
    </w:p>
    <w:p>
      <w:r>
        <w:t xml:space="preserve">   único é resolvido na década corrente, virando para a próxima quando o ano</w:t>
      </w:r>
    </w:p>
    <w:p>
      <w:r>
        <w:t xml:space="preserve">   cairia mais de um ano no passado — contrato futuro aponta para a frente, e</w:t>
      </w:r>
    </w:p>
    <w:p>
      <w:r>
        <w:t xml:space="preserve">   </w:t>
      </w:r>
      <w:r>
        <w:rPr>
          <w:rFonts w:ascii="Consolas" w:hAnsi="Consolas"/>
          <w:color w:val="B03060"/>
        </w:rPr>
        <w:t>5</w:t>
      </w:r>
      <w:r>
        <w:t xml:space="preserve"> em 2026 é 2025 (o vencimento recém-liquidado), nunca 2015.</w:t>
      </w:r>
    </w:p>
    <w:p>
      <w:pPr>
        <w:pStyle w:val="ListNumber"/>
      </w:pPr>
      <w:r>
        <w:rPr>
          <w:b/>
        </w:rPr>
        <w:t>O `"MY"` do símbolo fica no meio</w:t>
      </w:r>
      <w:r>
        <w:t xml:space="preserve"> (</w:t>
      </w:r>
      <w:r>
        <w:rPr>
          <w:rFonts w:ascii="Consolas" w:hAnsi="Consolas"/>
          <w:color w:val="B03060"/>
        </w:rPr>
        <w:t>ZL"MY".CBT</w:t>
      </w:r>
      <w:r>
        <w:t>), porque o sufixo de bolsa</w:t>
      </w:r>
    </w:p>
    <w:p>
      <w:r>
        <w:t xml:space="preserve">   vem depois do vencimento.</w:t>
      </w:r>
    </w:p>
    <w:p>
      <w:r>
        <w:t xml:space="preserve">Uma linha </w:t>
      </w:r>
      <w:r>
        <w:rPr>
          <w:b/>
        </w:rPr>
        <w:t>sem</w:t>
      </w:r>
      <w:r>
        <w:t xml:space="preserve"> </w:t>
      </w:r>
      <w:r>
        <w:rPr>
          <w:rFonts w:ascii="Consolas" w:hAnsi="Consolas"/>
          <w:color w:val="B03060"/>
        </w:rPr>
        <w:t>"MY"</w:t>
      </w:r>
      <w:r>
        <w:t xml:space="preserve"> continua sendo de-para literal e </w:t>
      </w:r>
      <w:r>
        <w:rPr>
          <w:b/>
        </w:rPr>
        <w:t>vence</w:t>
      </w:r>
      <w:r>
        <w:t xml:space="preserve"> o padrão —</w:t>
      </w:r>
    </w:p>
    <w:p>
      <w:r>
        <w:t>é assim que se cadastra a exceção de um vencimento só, ou o contrato contínuo.</w:t>
      </w:r>
    </w:p>
    <w:p>
      <w:pPr>
        <w:pStyle w:val="Heading3"/>
      </w:pPr>
      <w:r>
        <w:rPr>
          <w:sz w:val="25"/>
        </w:rPr>
        <w:t>4.1 O cadastro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Código B3 (padrão)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Símbolo de mercado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Mercadoria / bolsa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BO1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ZL=F</w:t>
            </w:r>
          </w:p>
        </w:tc>
        <w:tc>
          <w:tcPr>
            <w:tcW w:type="dxa" w:w="3312"/>
          </w:tcPr>
          <w:p>
            <w:r>
              <w:t>OLEO DE SOJA — contrato continuo (1o vencimento). Linha LITERAL: vence o padrao BO"MY", que so casa mes+ano.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 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ZC=F</w:t>
            </w:r>
          </w:p>
        </w:tc>
        <w:tc>
          <w:tcPr>
            <w:tcW w:type="dxa" w:w="3312"/>
          </w:tcPr>
          <w:p>
            <w:r>
              <w:t>MILHO — contrato continuo (1o vencimento)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CC1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CC=F</w:t>
            </w:r>
          </w:p>
        </w:tc>
        <w:tc>
          <w:tcPr>
            <w:tcW w:type="dxa" w:w="3312"/>
          </w:tcPr>
          <w:p>
            <w:r>
              <w:t>CACAU — contrato continuo (1o vencimento)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CO1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BZ=F</w:t>
            </w:r>
          </w:p>
        </w:tc>
        <w:tc>
          <w:tcPr>
            <w:tcW w:type="dxa" w:w="3312"/>
          </w:tcPr>
          <w:p>
            <w:r>
              <w:t>PETROLEO BRENT — contrato continuo (1o vencimento)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KC1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KC=F</w:t>
            </w:r>
          </w:p>
        </w:tc>
        <w:tc>
          <w:tcPr>
            <w:tcW w:type="dxa" w:w="3312"/>
          </w:tcPr>
          <w:p>
            <w:r>
              <w:t>CAFE — contrato continuo (1o vencimento)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S 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ZS=F</w:t>
            </w:r>
          </w:p>
        </w:tc>
        <w:tc>
          <w:tcPr>
            <w:tcW w:type="dxa" w:w="3312"/>
          </w:tcPr>
          <w:p>
            <w:r>
              <w:t>SOJA — contrato continuo (1o vencimento)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W 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ZW=F</w:t>
            </w:r>
          </w:p>
        </w:tc>
        <w:tc>
          <w:tcPr>
            <w:tcW w:type="dxa" w:w="3312"/>
          </w:tcPr>
          <w:p>
            <w:r>
              <w:t>TRIGO — contrato continuo (1o vencimento)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BO"MY"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ZL"MY".CBT</w:t>
            </w:r>
          </w:p>
        </w:tc>
        <w:tc>
          <w:tcPr>
            <w:tcW w:type="dxa" w:w="3312"/>
          </w:tcPr>
          <w:p>
            <w:r>
              <w:t>OLEO DE SOJA — Soybean Oil (CBOT)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C_"MY"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ZC"MY".CBT</w:t>
            </w:r>
          </w:p>
        </w:tc>
        <w:tc>
          <w:tcPr>
            <w:tcW w:type="dxa" w:w="3312"/>
          </w:tcPr>
          <w:p>
            <w:r>
              <w:t>MILHO — Corn (CBOT)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CC"MY"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CC"MY".NYB</w:t>
            </w:r>
          </w:p>
        </w:tc>
        <w:tc>
          <w:tcPr>
            <w:tcW w:type="dxa" w:w="3312"/>
          </w:tcPr>
          <w:p>
            <w:r>
              <w:t>CACAU — Cocoa (ICE Futures US)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CO"MY"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BZ"MY".NYM</w:t>
            </w:r>
          </w:p>
        </w:tc>
        <w:tc>
          <w:tcPr>
            <w:tcW w:type="dxa" w:w="3312"/>
          </w:tcPr>
          <w:p>
            <w:r>
              <w:t>PETROLEO BRENT — Brent Last Day Financial (NYMEX). Era CO"MY".NYB, que o Yahoo nao tem.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CT"MY"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CT"MY".NYB</w:t>
            </w:r>
          </w:p>
        </w:tc>
        <w:tc>
          <w:tcPr>
            <w:tcW w:type="dxa" w:w="3312"/>
          </w:tcPr>
          <w:p>
            <w:r>
              <w:t>ALGODAO — Cotton No. 2 (ICE Futures US)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DF"MY"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DF"MY".NYB</w:t>
            </w:r>
          </w:p>
        </w:tc>
        <w:tc>
          <w:tcPr>
            <w:tcW w:type="dxa" w:w="3312"/>
          </w:tcPr>
          <w:p>
            <w:r>
              <w:t>CAFE — simbolo herdado do app de desktop, nao confirmado na fonte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KC"MY"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KC"MY".NYB</w:t>
            </w:r>
          </w:p>
        </w:tc>
        <w:tc>
          <w:tcPr>
            <w:tcW w:type="dxa" w:w="3312"/>
          </w:tcPr>
          <w:p>
            <w:r>
              <w:t>CAFE — Coffee C (ICE Futures US)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S_"MY"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ZS"MY".CBT</w:t>
            </w:r>
          </w:p>
        </w:tc>
        <w:tc>
          <w:tcPr>
            <w:tcW w:type="dxa" w:w="3312"/>
          </w:tcPr>
          <w:p>
            <w:r>
              <w:t>SOJA — Soybean (CBOT)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SB"MY"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SB"MY".NYB</w:t>
            </w:r>
          </w:p>
        </w:tc>
        <w:tc>
          <w:tcPr>
            <w:tcW w:type="dxa" w:w="3312"/>
          </w:tcPr>
          <w:p>
            <w:r>
              <w:t>ACUCAR — Sugar No. 11 (ICE Futures US)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W_"MY"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ZW"MY".CBT</w:t>
            </w:r>
          </w:p>
        </w:tc>
        <w:tc>
          <w:tcPr>
            <w:tcW w:type="dxa" w:w="3312"/>
          </w:tcPr>
          <w:p>
            <w:r>
              <w:t>TRIGO — Chicago SRW Wheat (CBOT)</w:t>
            </w:r>
          </w:p>
        </w:tc>
      </w:tr>
    </w:tbl>
    <w:p/>
    <w:p>
      <w:pPr>
        <w:pStyle w:val="Heading3"/>
      </w:pPr>
      <w:r>
        <w:rPr>
          <w:sz w:val="25"/>
        </w:rPr>
        <w:t>4.2 Como as 17 linhas cobrem os subjacentes do dia</w:t>
      </w:r>
    </w:p>
    <w:p>
      <w:r>
        <w:t>Os 904 códigos da classe COMMODITIES ativos no Index B3 hoje resolvem assim —</w:t>
      </w:r>
    </w:p>
    <w:p>
      <w:r>
        <w:rPr>
          <w:b/>
        </w:rPr>
        <w:t>221 deles</w:t>
      </w:r>
      <w:r>
        <w:t xml:space="preserve"> ganham símbolo por essas 17 linhas (antes eram 70 linhas para 70</w:t>
      </w:r>
    </w:p>
    <w:p>
      <w:r>
        <w:t>códigos, e nenhum vencimento novo):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Família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Códigos B3 que casam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Símbolo resultante</w:t>
            </w:r>
          </w:p>
        </w:tc>
      </w:tr>
      <w:tr>
        <w:tc>
          <w:tcPr>
            <w:tcW w:type="dxa" w:w="3312"/>
          </w:tcPr>
          <w:p>
            <w:r>
              <w:t>Óleo de soja</w:t>
            </w:r>
          </w:p>
        </w:tc>
        <w:tc>
          <w:tcPr>
            <w:tcW w:type="dxa" w:w="3312"/>
          </w:tcPr>
          <w:p>
            <w:r>
              <w:t>21 — BOF7, BOH7, BOH8, BOK6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ZL</w:t>
            </w:r>
            <w:r>
              <w:t xml:space="preserve"> + mês/ano</w:t>
            </w:r>
          </w:p>
        </w:tc>
      </w:tr>
      <w:tr>
        <w:tc>
          <w:tcPr>
            <w:tcW w:type="dxa" w:w="3312"/>
          </w:tcPr>
          <w:p>
            <w:r>
              <w:t>Milho</w:t>
            </w:r>
          </w:p>
        </w:tc>
        <w:tc>
          <w:tcPr>
            <w:tcW w:type="dxa" w:w="3312"/>
          </w:tcPr>
          <w:p>
            <w:r>
              <w:t>17 — C H7, C H8, C K6, C K7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ZC</w:t>
            </w:r>
            <w:r>
              <w:t xml:space="preserve"> + mês/ano</w:t>
            </w:r>
          </w:p>
        </w:tc>
      </w:tr>
      <w:tr>
        <w:tc>
          <w:tcPr>
            <w:tcW w:type="dxa" w:w="3312"/>
          </w:tcPr>
          <w:p>
            <w:r>
              <w:t>Cacau</w:t>
            </w:r>
          </w:p>
        </w:tc>
        <w:tc>
          <w:tcPr>
            <w:tcW w:type="dxa" w:w="3312"/>
          </w:tcPr>
          <w:p>
            <w:r>
              <w:t>10 — CCH7, CCH8, CCK6, CCK7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CC</w:t>
            </w:r>
            <w:r>
              <w:t xml:space="preserve"> + mês/ano</w:t>
            </w:r>
          </w:p>
        </w:tc>
      </w:tr>
      <w:tr>
        <w:tc>
          <w:tcPr>
            <w:tcW w:type="dxa" w:w="3312"/>
          </w:tcPr>
          <w:p>
            <w:r>
              <w:t>Petróleo Brent</w:t>
            </w:r>
          </w:p>
        </w:tc>
        <w:tc>
          <w:tcPr>
            <w:tcW w:type="dxa" w:w="3312"/>
          </w:tcPr>
          <w:p>
            <w:r>
              <w:t>47 — COF7, COF8, COF9, COG29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BZ</w:t>
            </w:r>
            <w:r>
              <w:t xml:space="preserve"> + mês/ano</w:t>
            </w:r>
          </w:p>
        </w:tc>
      </w:tr>
      <w:tr>
        <w:tc>
          <w:tcPr>
            <w:tcW w:type="dxa" w:w="3312"/>
          </w:tcPr>
          <w:p>
            <w:r>
              <w:t>Algodão</w:t>
            </w:r>
          </w:p>
        </w:tc>
        <w:tc>
          <w:tcPr>
            <w:tcW w:type="dxa" w:w="3312"/>
          </w:tcPr>
          <w:p>
            <w:r>
              <w:t>16 — CTH7, CTH8, CTH9, CTK18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CT</w:t>
            </w:r>
            <w:r>
              <w:t xml:space="preserve"> + mês/ano</w:t>
            </w:r>
          </w:p>
        </w:tc>
      </w:tr>
      <w:tr>
        <w:tc>
          <w:tcPr>
            <w:tcW w:type="dxa" w:w="3312"/>
          </w:tcPr>
          <w:p>
            <w:r>
              <w:t>Café (ver §6)</w:t>
            </w:r>
          </w:p>
        </w:tc>
        <w:tc>
          <w:tcPr>
            <w:tcW w:type="dxa" w:w="3312"/>
          </w:tcPr>
          <w:p>
            <w:r>
              <w:t>8 — DFF7, DFK6, DFK7, DFN6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DF</w:t>
            </w:r>
            <w:r>
              <w:t xml:space="preserve"> + mês/ano</w:t>
            </w:r>
          </w:p>
        </w:tc>
      </w:tr>
      <w:tr>
        <w:tc>
          <w:tcPr>
            <w:tcW w:type="dxa" w:w="3312"/>
          </w:tcPr>
          <w:p>
            <w:r>
              <w:t>Café C</w:t>
            </w:r>
          </w:p>
        </w:tc>
        <w:tc>
          <w:tcPr>
            <w:tcW w:type="dxa" w:w="3312"/>
          </w:tcPr>
          <w:p>
            <w:r>
              <w:t>37 — KCH0, KCH19, KCH20, KCH6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KC</w:t>
            </w:r>
            <w:r>
              <w:t xml:space="preserve"> + mês/ano</w:t>
            </w:r>
          </w:p>
        </w:tc>
      </w:tr>
      <w:tr>
        <w:tc>
          <w:tcPr>
            <w:tcW w:type="dxa" w:w="3312"/>
          </w:tcPr>
          <w:p>
            <w:r>
              <w:t>Soja</w:t>
            </w:r>
          </w:p>
        </w:tc>
        <w:tc>
          <w:tcPr>
            <w:tcW w:type="dxa" w:w="3312"/>
          </w:tcPr>
          <w:p>
            <w:r>
              <w:t>35 — S F7, S F8, S H7, S H8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ZS</w:t>
            </w:r>
            <w:r>
              <w:t xml:space="preserve"> + mês/ano</w:t>
            </w:r>
          </w:p>
        </w:tc>
      </w:tr>
      <w:tr>
        <w:tc>
          <w:tcPr>
            <w:tcW w:type="dxa" w:w="3312"/>
          </w:tcPr>
          <w:p>
            <w:r>
              <w:t>Açúcar</w:t>
            </w:r>
          </w:p>
        </w:tc>
        <w:tc>
          <w:tcPr>
            <w:tcW w:type="dxa" w:w="3312"/>
          </w:tcPr>
          <w:p>
            <w:r>
              <w:t>17 — SBH0, SBH19, SBH6, SBH7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SB</w:t>
            </w:r>
            <w:r>
              <w:t xml:space="preserve"> + mês/ano</w:t>
            </w:r>
          </w:p>
        </w:tc>
      </w:tr>
      <w:tr>
        <w:tc>
          <w:tcPr>
            <w:tcW w:type="dxa" w:w="3312"/>
          </w:tcPr>
          <w:p>
            <w:r>
              <w:t>Trigo</w:t>
            </w:r>
          </w:p>
        </w:tc>
        <w:tc>
          <w:tcPr>
            <w:tcW w:type="dxa" w:w="3312"/>
          </w:tcPr>
          <w:p>
            <w:r>
              <w:t>6 — W H7, W K6, W K7, W N6 …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ZW</w:t>
            </w:r>
            <w:r>
              <w:t xml:space="preserve"> + mês/ano</w:t>
            </w:r>
          </w:p>
        </w:tc>
      </w:tr>
    </w:tbl>
    <w:p/>
    <w:p>
      <w:r>
        <w:t>Exemplo de expansão, código a código (amostra):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987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987"/>
            <w:shd w:val="clear" w:fill="0066CC"/>
          </w:tcPr>
          <w:p/>
        </w:tc>
        <w:tc>
          <w:tcPr>
            <w:tcW w:type="dxa" w:w="1987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987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BOK6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ZLK26.CBT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C K6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ZCK26.CBT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CCZ6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CCZ26.NYB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COZ6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BZZ26.NYM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COG29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BZG29.NYM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CTZ6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CTZ26.NYB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KCZ6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KCZ26.NYB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S X6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ZSX26.CBT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SBH6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SBH26.NYB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W Z6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ZWZ26.CBT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BO1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ZL=F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CO1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</w:rPr>
              <w:t>BZ=F</w:t>
            </w:r>
          </w:p>
        </w:tc>
      </w:tr>
    </w:tbl>
    <w:p/>
    <w:p>
      <w:pPr>
        <w:pStyle w:val="Heading2"/>
      </w:pPr>
      <w:r>
        <w:rPr>
          <w:color w:val="0066CC"/>
          <w:sz w:val="30"/>
        </w:rPr>
        <w:t>5. Equities — as duas regras</w:t>
      </w:r>
    </w:p>
    <w:p>
      <w:r>
        <w:t xml:space="preserve">Ação e índice não têm vencimento, então aqui </w:t>
      </w:r>
      <w:r>
        <w:rPr>
          <w:b/>
        </w:rPr>
        <w:t>toda linha é literal</w:t>
      </w:r>
      <w:r>
        <w:t>. Mas ela</w:t>
      </w:r>
    </w:p>
    <w:p>
      <w:r>
        <w:t>segue duas regras, e é bom que estejam escritas:</w:t>
      </w:r>
    </w:p>
    <w:p>
      <w:pPr>
        <w:pStyle w:val="ListNumber"/>
      </w:pPr>
      <w:r>
        <w:rPr>
          <w:b/>
        </w:rPr>
        <w:t>Papel brasileiro</w:t>
      </w:r>
      <w:r>
        <w:t xml:space="preserve"> — o código do Index B3 é o próprio ticker, e leva o</w:t>
      </w:r>
    </w:p>
    <w:p>
      <w:r>
        <w:t xml:space="preserve">   sufixo da B3: </w:t>
      </w:r>
      <w:r>
        <w:rPr>
          <w:rFonts w:ascii="Consolas" w:hAnsi="Consolas"/>
          <w:color w:val="B03060"/>
        </w:rPr>
        <w:t>PETR4</w:t>
      </w:r>
      <w:r>
        <w:t xml:space="preserve"> → </w:t>
      </w:r>
      <w:r>
        <w:rPr>
          <w:rFonts w:ascii="Consolas" w:hAnsi="Consolas"/>
          <w:color w:val="B03060"/>
        </w:rPr>
        <w:t>PETR4.SA</w:t>
      </w:r>
      <w:r>
        <w:t xml:space="preserve">, </w:t>
      </w:r>
      <w:r>
        <w:rPr>
          <w:rFonts w:ascii="Consolas" w:hAnsi="Consolas"/>
          <w:color w:val="B03060"/>
        </w:rPr>
        <w:t>AAPL34</w:t>
      </w:r>
      <w:r>
        <w:t xml:space="preserve"> → </w:t>
      </w:r>
      <w:r>
        <w:rPr>
          <w:rFonts w:ascii="Consolas" w:hAnsi="Consolas"/>
          <w:color w:val="B03060"/>
        </w:rPr>
        <w:t>AAPL34.SA</w:t>
      </w:r>
      <w:r>
        <w:t xml:space="preserve"> (BDR). São </w:t>
      </w:r>
      <w:r>
        <w:rPr>
          <w:b/>
        </w:rPr>
        <w:t>389</w:t>
      </w:r>
    </w:p>
    <w:p>
      <w:r>
        <w:t xml:space="preserve">   das 471 linhas.</w:t>
      </w:r>
    </w:p>
    <w:p>
      <w:pPr>
        <w:pStyle w:val="ListNumber"/>
      </w:pPr>
      <w:r>
        <w:rPr>
          <w:b/>
        </w:rPr>
        <w:t>Papel internacional</w:t>
      </w:r>
      <w:r>
        <w:t xml:space="preserve"> — o código do Index B3 vem no formato Bloomberg</w:t>
      </w:r>
    </w:p>
    <w:p>
      <w:r>
        <w:t xml:space="preserve">   (</w:t>
      </w:r>
      <w:r>
        <w:rPr>
          <w:rFonts w:ascii="Consolas" w:hAnsi="Consolas"/>
          <w:color w:val="B03060"/>
        </w:rPr>
        <w:t>AAPL UW</w:t>
      </w:r>
      <w:r>
        <w:t xml:space="preserve">, </w:t>
      </w:r>
      <w:r>
        <w:rPr>
          <w:rFonts w:ascii="Consolas" w:hAnsi="Consolas"/>
          <w:color w:val="B03060"/>
        </w:rPr>
        <w:t>AMZN US</w:t>
      </w:r>
      <w:r>
        <w:t>), com o código de bolsa depois do espaço; o Yahoo usa</w:t>
      </w:r>
    </w:p>
    <w:p>
      <w:r>
        <w:t xml:space="preserve">   o ticker sozinho para os EUA: </w:t>
      </w:r>
      <w:r>
        <w:rPr>
          <w:rFonts w:ascii="Consolas" w:hAnsi="Consolas"/>
          <w:color w:val="B03060"/>
        </w:rPr>
        <w:t>AAPL UW</w:t>
      </w:r>
      <w:r>
        <w:t xml:space="preserve"> → </w:t>
      </w:r>
      <w:r>
        <w:rPr>
          <w:rFonts w:ascii="Consolas" w:hAnsi="Consolas"/>
          <w:color w:val="B03060"/>
        </w:rPr>
        <w:t>AAPL</w:t>
      </w:r>
      <w:r>
        <w:t xml:space="preserve">. São </w:t>
      </w:r>
      <w:r>
        <w:rPr>
          <w:b/>
        </w:rPr>
        <w:t>82</w:t>
      </w:r>
      <w:r>
        <w:t xml:space="preserve"> linhas.</w:t>
      </w:r>
    </w:p>
    <w:p>
      <w:r>
        <w:t xml:space="preserve">Índice não é papel e leva </w:t>
      </w:r>
      <w:r>
        <w:rPr>
          <w:rFonts w:ascii="Consolas" w:hAnsi="Consolas"/>
          <w:color w:val="B03060"/>
        </w:rPr>
        <w:t>^</w:t>
      </w:r>
      <w:r>
        <w:t xml:space="preserve">: </w:t>
      </w:r>
      <w:r>
        <w:rPr>
          <w:rFonts w:ascii="Consolas" w:hAnsi="Consolas"/>
          <w:color w:val="B03060"/>
        </w:rPr>
        <w:t>IBOVESPA</w:t>
      </w:r>
      <w:r>
        <w:t xml:space="preserve"> → </w:t>
      </w:r>
      <w:r>
        <w:rPr>
          <w:rFonts w:ascii="Consolas" w:hAnsi="Consolas"/>
          <w:color w:val="B03060"/>
        </w:rPr>
        <w:t>^BVSP</w:t>
      </w:r>
      <w:r>
        <w:t xml:space="preserve">, </w:t>
      </w:r>
      <w:r>
        <w:rPr>
          <w:rFonts w:ascii="Consolas" w:hAnsi="Consolas"/>
          <w:color w:val="B03060"/>
        </w:rPr>
        <w:t>SPX QUANTO</w:t>
      </w:r>
      <w:r>
        <w:t xml:space="preserve"> → </w:t>
      </w:r>
      <w:r>
        <w:rPr>
          <w:rFonts w:ascii="Consolas" w:hAnsi="Consolas"/>
          <w:color w:val="B03060"/>
        </w:rPr>
        <w:t>^GSPC</w:t>
      </w:r>
      <w:r>
        <w:t>,</w:t>
      </w:r>
    </w:p>
    <w:p>
      <w:r>
        <w:rPr>
          <w:rFonts w:ascii="Consolas" w:hAnsi="Consolas"/>
          <w:color w:val="B03060"/>
        </w:rPr>
        <w:t>NDX</w:t>
      </w:r>
      <w:r>
        <w:t xml:space="preserve"> → </w:t>
      </w:r>
      <w:r>
        <w:rPr>
          <w:rFonts w:ascii="Consolas" w:hAnsi="Consolas"/>
          <w:color w:val="B03060"/>
        </w:rPr>
        <w:t>^NDX</w:t>
      </w:r>
      <w:r>
        <w:t>.</w:t>
      </w:r>
    </w:p>
    <w:p>
      <w:pPr>
        <w:pStyle w:val="Heading3"/>
      </w:pPr>
      <w:r>
        <w:rPr>
          <w:sz w:val="25"/>
        </w:rPr>
        <w:t>5.1 Códigos de bolsa Bloomberg que aparecem no cadastro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Código Bloomberg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Bolsa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Sufixo Yahoo correspondente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US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UN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UQ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UW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UP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UR</w:t>
            </w:r>
          </w:p>
        </w:tc>
        <w:tc>
          <w:tcPr>
            <w:tcW w:type="dxa" w:w="3312"/>
          </w:tcPr>
          <w:p>
            <w:r>
              <w:t>bolsas dos EUA (NYSE, NASDAQ e afins)</w:t>
            </w:r>
          </w:p>
        </w:tc>
        <w:tc>
          <w:tcPr>
            <w:tcW w:type="dxa" w:w="3312"/>
          </w:tcPr>
          <w:p>
            <w:r>
              <w:t>*(nenhum)*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FP</w:t>
            </w:r>
          </w:p>
        </w:tc>
        <w:tc>
          <w:tcPr>
            <w:tcW w:type="dxa" w:w="3312"/>
          </w:tcPr>
          <w:p>
            <w:r>
              <w:t>Euronext Paris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.PA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NA</w:t>
            </w:r>
          </w:p>
        </w:tc>
        <w:tc>
          <w:tcPr>
            <w:tcW w:type="dxa" w:w="3312"/>
          </w:tcPr>
          <w:p>
            <w:r>
              <w:t>Euronext Amsterdã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.AS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LN</w:t>
            </w:r>
          </w:p>
        </w:tc>
        <w:tc>
          <w:tcPr>
            <w:tcW w:type="dxa" w:w="3312"/>
          </w:tcPr>
          <w:p>
            <w:r>
              <w:t>London Stock Exchange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.L</w:t>
            </w:r>
          </w:p>
        </w:tc>
      </w:tr>
    </w:tbl>
    <w:p/>
    <w:p>
      <w:pPr>
        <w:pStyle w:val="Heading3"/>
      </w:pPr>
      <w:r>
        <w:rPr>
          <w:sz w:val="25"/>
        </w:rPr>
        <w:t>5.2 O cadastro completo</w:t>
      </w:r>
    </w:p>
    <w:p>
      <w:pPr>
        <w:pStyle w:val="Heading4"/>
      </w:pPr>
      <w:r>
        <w:rPr>
          <w:color w:val="555555"/>
          <w:sz w:val="22"/>
        </w:rPr>
        <w:t>Ações (386)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242"/>
            <w:shd w:val="clear" w:fill="0066CC"/>
          </w:tcPr>
          <w:p/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242"/>
            <w:shd w:val="clear" w:fill="0066CC"/>
          </w:tcPr>
          <w:p/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ABCB4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ABCB4.SA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ABEV3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ABEV3.SA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ADBE34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ADBE34.SA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AESB3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AESB3.SA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AGRO3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AGRO3.SA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AIRB34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AIRB34.SA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ALOS3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ALOS3.SA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ALOS99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ALOS99.SA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ALSO3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ALSO3.SA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ALUP11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ALUP11.SA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AMAR3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AMAR3.SA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AMBP3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AMBP3.SA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AMER3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AMER3.SA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AMZO34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AMZO34.SA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ANIM3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ANIM3.SA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ARGE11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ARGE11.SA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ARGT39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ARGT39.SA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ARML3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ARML3.SA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ASAI3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ASAI3.SA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ASML34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ASML34.SA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AUAU3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AUAU3.SA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AUAU99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AUAU99.SA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AURA33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AURA33.SA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AURE3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AURE3.SA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AVGO34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AVGO34.SA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AXIA3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AXIA3.SA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AZEV4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AZEV4.SA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AZZA3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AZZA3.SA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BABA34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BABA34.SA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BAER39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BAER39.SA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BALM4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BALM4.SA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BBAS3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BBAS3.SA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BBDC3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BBDC3.SA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BBDC4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BBDC4.SA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BBOI11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BBOI11.SA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BBSE3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BBSE3.SA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BCIA11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BCIA11.SA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BCPX39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BCPX39.SA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BCRI11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BCRI11.SA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BEEF3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BEEF3.SA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BERK34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BERK34.SA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BHIA3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BHIA3.SA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BIDI11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BIDI11.SA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BIDI4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BIDI4.SA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BIDU34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BIDU34.SA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BIEO39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BIEO39.SA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BIJR39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BIJR39.SA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BIOM3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BIOM3.SA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BITH11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BITH11.SA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BITI11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BITI11.SA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BIWM39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BIWM39.SA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BIXC39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BIXC39.SA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BIYE39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BIYE39.SA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BKBR3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BKBR3.SA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BKNG34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BKNG34.SA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BKWB39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BKWB39.SA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BLAK34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BLAK34.SA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BMEB4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BMEB4.SA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BMGB4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BMGB4.SA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BMOB3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BMOB3.SA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BNDA39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BNDA39.SA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BOAC34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BOAC34.SA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BOVA11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BOVA11.SA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BOVV11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BOVV11.SA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BOVX11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BOVX11.SA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BPAC11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BPAC11.SA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BPAN4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BPAN4.SA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BRAP3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BRAP3.SA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BRAV3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BRAV3.SA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BRBI11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BRBI11.SA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BRDT3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BRDT3.SA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BRFS3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BRFS3.SA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BRIT3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BRIT3.SA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BRKM5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BRKM5.SA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BRPR3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BRPR3.SA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BRSR6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BRSR6.SA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BRXC11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BRXC11.SA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BSIL39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BSIL39.SA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BSLV39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BSLV39.SA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BTCI11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BTCI11.SA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BTHF11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BTHF11.SA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BTLG11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BTLG11.SA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BURA39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BURA39.SA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BUTL39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BUTL39.SA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CACR11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CACR11.SA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CAFR31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CAFR31.SA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CAML3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CAML3.SA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CASH3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CASH3.SA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CBAV3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CBAV3.SA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CCME11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CCME11.SA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CCRO3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CCRO3.SA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CEAB3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CEAB3.SA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CHIP11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CHIP11.SA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CHVX34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CHVX34.SA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CIEL3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CIEL3.SA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CLIN11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CLIN11.SA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CMIG3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CMIG3.SA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CMIG4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CMIG4.SA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CMIN3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CMIN3.SA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COCA34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COCA34.SA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COGN3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COGN3.SA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CORN11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CORN11.SA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COWC34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COWC34.SA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CPFE3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CPFE3.SA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CPLE3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CPLE3.SA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CPLE6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CPLE6.SA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CPTS11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CPTS11.SA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CRAA11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CRAA11.SA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CRFB3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CRFB3.SA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CSAN3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CSAN3.SA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CSED3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CSED3.SA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CTGP34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CTGP34.SA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CURY3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CURY3.SA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CVCB3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CVCB3.SA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CXSE3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CXSE3.SA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CYRE3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CYRE3.SA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CYRE4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CYRE4.SA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DESK3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DESK3.SA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DEVA11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DEVA11.SA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DEXP3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DEXP3.SA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DIRR3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DIRR3.SA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DISB34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DISB34.SA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DIVO11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DIVO11.SA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DOLA11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DOLA11.SA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DOTZ3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DOTZ3.SA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DTEX3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DTEX3.SA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DXCO3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DXCO3.SA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ECOR3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ECOR3.SA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EGIE3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EGIE3.SA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ELET3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ELET3.SA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ELET6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ELET6.SA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EMBJ3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EMBJ3.SA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EMBR3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EMBR3.SA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ENAT3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ENAT3.SA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ENEV3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ENEV3.SA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ENGI11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ENGI11.SA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ENJU3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ENJU3.SA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EQTL3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EQTL3.SA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ESTC3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ESTC3.SA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ETHE11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ETHE11.SA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EUCA4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EUCA4.SA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EVEN3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EVEN3.SA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EVTC31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EVTC31.SA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EXXO34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EXXO34.SA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EZTC3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EZTC3.SA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FESA4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FESA4.SA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FGAA11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FGAA11.SA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FLRY3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FLRY3.SA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FRAS3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FRAS3.SA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GARE11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GARE11.SA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GDXB39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GDXB39.SA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GFSA3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GFSA3.SA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GGBR4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GGBR4.SA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GGPS3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GGPS3.SA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GGRC11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GGRC11.SA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GMAT3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GMAT3.SA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GMCO34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GMCO34.SA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GOAU3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GOAU3.SA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GOAU4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GOAU4.SA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GOGL34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GOGL34.SA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GOLD11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GOLD11.SA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GOLL4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GOLL4.SA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GRND3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GRND3.SA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GSGI34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GSGI34.SA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GTWR11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GTWR11.SA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HAPV3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HAPV3.SA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HASH11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HASH11.SA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HBOR3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HBOR3.SA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HBRE3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HBRE3.SA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HBSA3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HBSA3.SA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HFOF11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HFOF11.SA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HGBS11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HGBS11.SA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HGLG11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HGLG11.SA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HGRE11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HGRE11.SA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HGRU11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HGRU11.SA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HODL11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HODL11.SA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HOSI11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HOSI11.SA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HSAF11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HSAF11.SA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HSML11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HSML11.SA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HYPE3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HYPE3.SA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IFCM3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IFCM3.SA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IGTI11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IGTI11.SA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INBR32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INBR32.SA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INTB3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INTB3.SA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IRBR3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IRBR3.SA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IRDM11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IRDM11.SA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IRIM11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IRIM11.SA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ISAE4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ISAE4.SA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ITLC34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ITLC34.SA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ITSA3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ITSA3.SA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ITSA4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ITSA4.SA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ITUB3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ITUB3.SA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ITUB4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ITUB4.SA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IVVB11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IVVB11.SA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JALL3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JALL3.SA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JBSS3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JBSS3.SA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JBSS32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JBSS32.SA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JHSF3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JHSF3.SA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JNJB34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JNJB34.SA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JPMC34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JPMC34.SA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JSLG3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JSLG3.SA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KEPL3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KEPL3.SA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KLBN11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KLBN11.SA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KNCA11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KNCA11.SA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KNCR11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KNCR11.SA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KNHY11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KNHY11.SA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KNIP11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KNIP11.SA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KNRI11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KNRI11.SA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KNSC11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KNSC11.SA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KORE11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KORE11.SA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LAME4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LAME4.SA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LAVV3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LAVV3.SA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LEVE3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LEVE3.SA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LIFE11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LIFE11.SA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LIGT3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LIGT3.SA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LILY34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LILY34.SA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LJQQ3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LJQQ3.SA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LOGG3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LOGG3.SA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LREN3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LREN3.SA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LVBI11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LVBI11.SA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LWSA3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LWSA3.SA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MBRF3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MBRF3.SA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MCDC34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MCDC34.SA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MCRE11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MCRE11.SA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MDNE3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MDNE3.SA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MELI34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MELI34.SA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MELK3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MELK3.SA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MGLU3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MGLU3.SA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MILS3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MILS3.SA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MOTV3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MOTV3.SA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MOVI3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MOVI3.SA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MRFG3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MRFG3.SA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MRVE3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MRVE3.SA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MSCD34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MSCD34.SA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MSFT34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MSFT34.SA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MTRE3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MTRE3.SA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MULT3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MULT3.SA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MUTC34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MUTC34.SA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MXRF11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MXRF11.SA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MYPK3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MYPK3.SA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NASD11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NASD11.SA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NATU3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NATU3.SA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NEOE3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NEOE3.SA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NFLX34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NFLX34.SA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NIKE34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NIKE34.SA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NSLU11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NSLU11.SA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NTCO3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NTCO3.SA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NVDC34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NVDC34.SA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ODPV3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ODPV3.SA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ONCO3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ONCO3.SA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OPCT3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OPCT3.SA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ORCL34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ORCL34.SA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ORVR3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ORVR3.SA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PAGS34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PAGS34.SA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PCAR3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PCAR3.SA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PCIP11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PCIP11.SA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PETR4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PETR4.SA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PFIZ34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PFIZ34.SA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PGMN3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PGMN3.SA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PINE4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PINE4.SA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PLPL3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PLPL3.SA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PNVL3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PNVL3.SA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POMO3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POMO3.SA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POMO4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POMO4.SA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POSI3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POSI3.SA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PRIO3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PRIO3.SA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PSSA3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PSSA3.SA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PTBL3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PTBL3.SA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PVBI11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PVBI11.SA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PYPL34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PYPL34.SA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QBTC11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QBTC11.SA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QETH11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QETH11.SA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QUAL3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QUAL3.SA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QUBT34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QUBT34.SA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RAIL3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RAIL3.SA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RAIZ4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RAIZ4.SA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RANI3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RANI3.SA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RAPT4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RAPT4.SA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RBRY11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RBRY11.SA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RDOR3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RDOR3.SA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RECR11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RECR11.SA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RECV3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RECV3.SA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RENT3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RENT3.SA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RENT4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RENT4.SA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RIAA3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RIAA3.SA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RIOT34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RIOT34.SA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ROMI3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ROMI3.SA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ROXO34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ROXO34.SA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RRRP3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RRRP3.SA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RURA11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RURA11.SA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RVBI11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RVBI11.SA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RZAK11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RZAK11.SA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RZTR11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RZTR11.SA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SANB11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SANB11.SA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SANB3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SANB3.SA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SANB4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SANB4.SA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SAPR11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SAPR11.SA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SAPR3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SAPR3.SA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SAPR4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SAPR4.SA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SBFG3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SBFG3.SA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SBSP3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SBSP3.SA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SCVB11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SCVB11.SA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SEER3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SEER3.SA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SEQL3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SEQL3.SA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SHOW3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SHOW3.SA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SHUL4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SHUL4.SA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SIMH3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SIMH3.SA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SIMN34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SIMN34.SA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SLCE3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SLCE3.SA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SMAC11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SMAC11.SA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SMAL11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SMAL11.SA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SMFT3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SMFT3.SA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SMTO3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SMTO3.SA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SNCI11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SNCI11.SA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SOJA3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SOJA3.SA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SOLH11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SOLH11.SA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SOMA3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SOMA3.SA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SPXB11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SPXB11.SA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SPXI11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SPXI11.SA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SPXR11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SPXR11.SA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SQIA3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SQIA3.SA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SRNA3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SRNA3.SA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STBP3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STBP3.SA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SUZB3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SUZB3.SA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SUZB5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SUZB5.SA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SYNE3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SYNE3.SA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TAEE11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TAEE11.SA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TAEE3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TAEE3.SA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TAEE4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TAEE4.SA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TASA4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TASA4.SA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TECK11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TECK11.SA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TEND3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TEND3.SA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TFCO4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TFCO4.SA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TGAR11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TGAR11.SA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TIET11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TIET11.SA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TIMP3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TIMP3.SA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TIMS3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TIMS3.SA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TOTS3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TOTS3.SA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TRAD3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TRAD3.SA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TRIG11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TRIG11.SA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TRIS3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TRIS3.SA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TRPL4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TRPL4.SA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TRXF11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TRXF11.SA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TSLA34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TSLA34.SA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TSMC34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TSMC34.SA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TTEN3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TTEN3.SA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TUPY3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TUPY3.SA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TVRI11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TVRI11.SA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UGPA3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UGPA3.SA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UNIP6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UNIP6.SA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USIM5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USIM5.SA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UTLL11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UTLL11.SA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VALE3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VALE3.SA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VAMO3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VAMO3.SA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VAMO99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VAMO99.SA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VBBR3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VBBR3.SA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VGHF11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VGHF11.SA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VGIP11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VGIP11.SA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VGIR11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VGIR11.SA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VIIA3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VIIA3.SA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VINO11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VINO11.SA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VISA34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VISA34.SA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VISC11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VISC11.SA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VIVA3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VIVA3.SA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VIVT3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VIVT3.SA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VLID3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VLID3.SA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VRTA11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VRTA11.SA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VULC3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VULC3.SA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VVAR3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VVAR3.SA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VVEO3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VVEO3.SA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WALM34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WALM34.SA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WEGE3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WEGE3.SA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WFCO34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WFCO34.SA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WIZC3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WIZC3.SA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WIZS3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WIZS3.SA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XBIT11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XBIT11.SA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XETH11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XETH11.SA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XFIX11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XFIX11.SA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XINA11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XINA11.SA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XPBR31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XPBR31.SA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XPLG11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XPLG11.SA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XPML11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XPML11.SA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XPSF11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XPSF11.SA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YDUQ3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YDUQ3.SA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ZAMP3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ZAMP3.SA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</w:tr>
    </w:tbl>
    <w:p/>
    <w:p>
      <w:pPr>
        <w:pStyle w:val="Heading4"/>
      </w:pPr>
      <w:r>
        <w:rPr>
          <w:color w:val="555555"/>
          <w:sz w:val="22"/>
        </w:rPr>
        <w:t>Ações Internacionais (67)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242"/>
            <w:shd w:val="clear" w:fill="0066CC"/>
          </w:tcPr>
          <w:p/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242"/>
            <w:shd w:val="clear" w:fill="0066CC"/>
          </w:tcPr>
          <w:p/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AAPL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ABBV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ABBV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ADBE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ADBE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AEM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AEM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AIR FP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AIR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AIR FP_PA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AIR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AKAM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AKAM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AMD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AMD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AMD UR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AMD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AMD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AMD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AMD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AMD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AMZN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AMZN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AMZN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AMZN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AMZN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AMZN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AMZN UW_43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AMZN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APD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APD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ASML NA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ASML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ASML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ASML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ATVI UW_43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ATVI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AU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AVGO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AVGO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AVGO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AVGO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AZN LN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AZN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AZN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AZN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AZN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AZN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AZN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AZN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BABA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BABA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BABA UN_43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BABA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BABA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BABA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BRK/B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BRK-B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BRK/B UP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BRK-B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BRK/B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BRK-B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BUD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BUD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BUD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BUD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BUSHELS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CAR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CAR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CAR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CAR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EA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EA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EA UW_43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EA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GOOGL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GOOGL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GOOGL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GOOGL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GOOGL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GOOGL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JNJ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JNJ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LLY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LLY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LLY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LLY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LULU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LULU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MSFT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MSFT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MSFT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MSFT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MSFT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MSFT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MT NA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MT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MT NA_PA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MT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NVDA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NVDA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NVDA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NVDA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NVDA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NVDA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NVO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NVO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NVO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NVO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PANW UW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PANW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QQQ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QQQ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 UN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T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</w:tr>
    </w:tbl>
    <w:p/>
    <w:p>
      <w:pPr>
        <w:pStyle w:val="Heading4"/>
      </w:pPr>
      <w:r>
        <w:rPr>
          <w:color w:val="555555"/>
          <w:sz w:val="22"/>
        </w:rPr>
        <w:t>Indices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242"/>
            <w:shd w:val="clear" w:fill="0066CC"/>
          </w:tcPr>
          <w:p/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242"/>
            <w:shd w:val="clear" w:fill="0066CC"/>
          </w:tcPr>
          <w:p/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IBOVESPA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^BVSP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SPX QUANTO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^GSPC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</w:tr>
    </w:tbl>
    <w:p/>
    <w:p>
      <w:pPr>
        <w:pStyle w:val="Heading4"/>
      </w:pPr>
      <w:r>
        <w:rPr>
          <w:color w:val="555555"/>
          <w:sz w:val="22"/>
        </w:rPr>
        <w:t>Indices Internacionais (16)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242"/>
            <w:shd w:val="clear" w:fill="0066CC"/>
          </w:tcPr>
          <w:p/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1242"/>
            <w:shd w:val="clear" w:fill="0066CC"/>
          </w:tcPr>
          <w:p/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Código B3</w:t>
            </w:r>
          </w:p>
        </w:tc>
        <w:tc>
          <w:tcPr>
            <w:tcW w:type="dxa" w:w="1242"/>
            <w:shd w:val="clear" w:fill="0066CC"/>
          </w:tcPr>
          <w:p>
            <w:r>
              <w:rPr>
                <w:b/>
                <w:color w:val="FFFFFF"/>
              </w:rPr>
              <w:t>Símbolo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AAXJ UP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AAXJ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AAXJ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AAXJ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AAXJ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AAXJ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BOTZ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BOTZ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BOTZ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BOTZ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DEDZ0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DEDZ0.SA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DEDZ3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DEDZ3.SA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DEDZ9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DEDZ9.SA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GLD UP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GLD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GLD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GLD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ICLN UP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ICLN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ICLN UQ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ICLN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ICLN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ICLN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NDX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^NDX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QQQ UP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QQQ</w:t>
            </w:r>
          </w:p>
        </w:tc>
      </w:tr>
      <w:tr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QQQ US</w:t>
            </w:r>
          </w:p>
        </w:tc>
        <w:tc>
          <w:tcPr>
            <w:tcW w:type="dxa" w:w="1242"/>
          </w:tcPr>
          <w:p>
            <w:r>
              <w:rPr>
                <w:rFonts w:ascii="Consolas" w:hAnsi="Consolas"/>
                <w:color w:val="B03060"/>
              </w:rPr>
              <w:t>QQQ</w:t>
            </w:r>
          </w:p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  <w:tc>
          <w:tcPr>
            <w:tcW w:type="dxa" w:w="1242"/>
          </w:tcPr>
          <w:p/>
        </w:tc>
      </w:tr>
    </w:tbl>
    <w:p/>
    <w:p>
      <w:pPr>
        <w:pStyle w:val="Heading2"/>
      </w:pPr>
      <w:r>
        <w:rPr>
          <w:color w:val="0066CC"/>
          <w:sz w:val="30"/>
        </w:rPr>
        <w:t>6. Pendências conhecidas</w:t>
      </w:r>
    </w:p>
    <w:p>
      <w:r>
        <w:t>O que este registro deixa em aberto — nenhuma delas dá erro na tela, todas</w:t>
      </w:r>
    </w:p>
    <w:p>
      <w:r>
        <w:t>aparecem como "sem dado" ou como preço de outro papel: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Situação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DF"MY"</w:t>
            </w:r>
            <w:r>
              <w:t xml:space="preserve"> → </w:t>
            </w:r>
            <w:r>
              <w:rPr>
                <w:rFonts w:ascii="Consolas" w:hAnsi="Consolas"/>
                <w:color w:val="B03060"/>
              </w:rPr>
              <w:t>DF"MY".NYB</w:t>
            </w:r>
          </w:p>
        </w:tc>
        <w:tc>
          <w:tcPr>
            <w:tcW w:type="dxa" w:w="3312"/>
          </w:tcPr>
          <w:p>
            <w:r>
              <w:t xml:space="preserve">Símbolo herdado do app de desktop. </w:t>
            </w:r>
            <w:r>
              <w:rPr>
                <w:b/>
              </w:rPr>
              <w:t>Não confirmado na fonte</w:t>
            </w:r>
            <w:r>
              <w:t xml:space="preserve">: </w:t>
            </w:r>
            <w:r>
              <w:rPr>
                <w:rFonts w:ascii="Consolas" w:hAnsi="Consolas"/>
                <w:color w:val="B03060"/>
              </w:rPr>
              <w:t>DFK26.NYB</w:t>
            </w:r>
            <w:r>
              <w:t xml:space="preserve"> e </w:t>
            </w:r>
            <w:r>
              <w:rPr>
                <w:rFonts w:ascii="Consolas" w:hAnsi="Consolas"/>
                <w:color w:val="B03060"/>
              </w:rPr>
              <w:t>DFH27.NYB</w:t>
            </w:r>
            <w:r>
              <w:t xml:space="preserve"> respondem 404 no Yahoo. Precisa da confirmação da mesa sobre que mercadoria é o </w:t>
            </w:r>
            <w:r>
              <w:rPr>
                <w:rFonts w:ascii="Consolas" w:hAnsi="Consolas"/>
                <w:color w:val="B03060"/>
              </w:rPr>
              <w:t>DF</w:t>
            </w:r>
            <w:r>
              <w:t xml:space="preserve"> da B3.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CO"MY"</w:t>
            </w:r>
            <w:r>
              <w:t xml:space="preserve"> (Brent)</w:t>
            </w:r>
          </w:p>
        </w:tc>
        <w:tc>
          <w:tcPr>
            <w:tcW w:type="dxa" w:w="3312"/>
          </w:tcPr>
          <w:p>
            <w:r>
              <w:t xml:space="preserve">Estava como </w:t>
            </w:r>
            <w:r>
              <w:rPr>
                <w:rFonts w:ascii="Consolas" w:hAnsi="Consolas"/>
                <w:color w:val="B03060"/>
              </w:rPr>
              <w:t>CO"MY".NYB</w:t>
            </w:r>
            <w:r>
              <w:t xml:space="preserve">, que o Yahoo </w:t>
            </w:r>
            <w:r>
              <w:rPr>
                <w:b/>
              </w:rPr>
              <w:t>não tem</w:t>
            </w:r>
            <w:r>
              <w:t xml:space="preserve"> (404). Corrigido para </w:t>
            </w:r>
            <w:r>
              <w:rPr>
                <w:rFonts w:ascii="Consolas" w:hAnsi="Consolas"/>
                <w:color w:val="B03060"/>
              </w:rPr>
              <w:t>BZ"MY".NYM</w:t>
            </w:r>
            <w:r>
              <w:t xml:space="preserve"> — *Brent Crude Oil Last Day Financial*, confirmado na fonte.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6 papéis não-americanos com código Bloomberg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AIR FP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AIR FP_PA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ASML NA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MT NA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MT NA_PA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AZN LN</w:t>
            </w:r>
            <w:r>
              <w:t xml:space="preserve"> estão cadastrados com o ticker </w:t>
            </w:r>
            <w:r>
              <w:rPr>
                <w:b/>
              </w:rPr>
              <w:t>nu</w:t>
            </w:r>
            <w:r>
              <w:t xml:space="preserve">, que no Yahoo é a listagem AMERICANA. Para </w:t>
            </w:r>
            <w:r>
              <w:rPr>
                <w:rFonts w:ascii="Consolas" w:hAnsi="Consolas"/>
                <w:color w:val="B03060"/>
              </w:rPr>
              <w:t>ASML</w:t>
            </w:r>
            <w:r>
              <w:t xml:space="preserve"> e </w:t>
            </w:r>
            <w:r>
              <w:rPr>
                <w:rFonts w:ascii="Consolas" w:hAnsi="Consolas"/>
                <w:color w:val="B03060"/>
              </w:rPr>
              <w:t>AZN</w:t>
            </w:r>
            <w:r>
              <w:t xml:space="preserve"> existe ADR nos EUA e o preço vem em USD; para </w:t>
            </w:r>
            <w:r>
              <w:rPr>
                <w:rFonts w:ascii="Consolas" w:hAnsi="Consolas"/>
                <w:color w:val="B03060"/>
              </w:rPr>
              <w:t>AIR</w:t>
            </w:r>
            <w:r>
              <w:t xml:space="preserve"> (Airbus) o ticker nu é outra empresa. O correto seria </w:t>
            </w:r>
            <w:r>
              <w:rPr>
                <w:rFonts w:ascii="Consolas" w:hAnsi="Consolas"/>
                <w:color w:val="B03060"/>
              </w:rPr>
              <w:t>AIR.PA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ASML.AS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MT.AS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AZN.L</w:t>
            </w:r>
            <w:r>
              <w:t>.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Códigos contínuos (</w:t>
            </w:r>
            <w:r>
              <w:rPr>
                <w:rFonts w:ascii="Consolas" w:hAnsi="Consolas"/>
                <w:color w:val="B03060"/>
              </w:rPr>
              <w:t>C 1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S 1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W 1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BO1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CC1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CO1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KC1</w:t>
            </w:r>
            <w:r>
              <w:t>)</w:t>
            </w:r>
          </w:p>
        </w:tc>
        <w:tc>
          <w:tcPr>
            <w:tcW w:type="dxa" w:w="3312"/>
          </w:tcPr>
          <w:p>
            <w:r>
              <w:t>Antes apontavam para valores inválidos (</w:t>
            </w:r>
            <w:r>
              <w:rPr>
                <w:rFonts w:ascii="Consolas" w:hAnsi="Consolas"/>
                <w:color w:val="B03060"/>
              </w:rPr>
              <w:t>BUSHELS</w:t>
            </w:r>
            <w:r>
              <w:t xml:space="preserve">, ou o mesmo </w:t>
            </w:r>
            <w:r>
              <w:rPr>
                <w:rFonts w:ascii="Consolas" w:hAnsi="Consolas"/>
                <w:color w:val="B03060"/>
              </w:rPr>
              <w:t>ZSK25.CBT</w:t>
            </w:r>
            <w:r>
              <w:t xml:space="preserve"> repetido em 18 linhas). Cadastrados agora como o contínuo do Yahoo (</w:t>
            </w:r>
            <w:r>
              <w:rPr>
                <w:rFonts w:ascii="Consolas" w:hAnsi="Consolas"/>
                <w:color w:val="B03060"/>
              </w:rPr>
              <w:t>ZC=F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ZS=F</w:t>
            </w:r>
            <w:r>
              <w:t xml:space="preserve">, …), que é o 1º vencimento. Confirmar com a mesa se é essa a leitura de </w:t>
            </w:r>
            <w:r>
              <w:rPr>
                <w:rFonts w:ascii="Consolas" w:hAnsi="Consolas"/>
                <w:color w:val="B03060"/>
              </w:rPr>
              <w:t>1</w:t>
            </w:r>
            <w:r>
              <w:t xml:space="preserve"> na B3.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Mercadorias do Index B3 ainda sem símbolo</w:t>
            </w:r>
          </w:p>
        </w:tc>
        <w:tc>
          <w:tcPr>
            <w:tcW w:type="dxa" w:w="3312"/>
          </w:tcPr>
          <w:p>
            <w:r>
              <w:t xml:space="preserve">683 dos 904 subjacentes ativos da classe COMMODITIES não têm de-para (LME, Platts, gás, minério, boi, etc.). Não é erro: nem toda mercadoria registrada na B3 é cotada no Yahoo. Cada uma que a mesa precisar entra como </w:t>
            </w:r>
            <w:r>
              <w:rPr>
                <w:b/>
              </w:rPr>
              <w:t>uma</w:t>
            </w:r>
            <w:r>
              <w:t xml:space="preserve"> linha </w:t>
            </w:r>
            <w:r>
              <w:rPr>
                <w:rFonts w:ascii="Consolas" w:hAnsi="Consolas"/>
                <w:color w:val="B03060"/>
              </w:rPr>
              <w:t>"MY"</w:t>
            </w:r>
            <w:r>
              <w:t>.</w:t>
            </w:r>
          </w:p>
        </w:tc>
      </w:tr>
    </w:tbl>
    <w:p/>
    <w:p>
      <w:pPr>
        <w:pStyle w:val="Heading2"/>
      </w:pPr>
      <w:r>
        <w:rPr>
          <w:color w:val="0066CC"/>
          <w:sz w:val="30"/>
        </w:rPr>
        <w:t>7. Fontes</w:t>
      </w:r>
    </w:p>
    <w:p>
      <w:pPr>
        <w:pStyle w:val="ListBullet"/>
      </w:pPr>
      <w:r>
        <w:t>Yahoo Finance — *Exchanges and data providers on Yahoo Finance* (tabela de</w:t>
      </w:r>
    </w:p>
    <w:p>
      <w:r>
        <w:t xml:space="preserve">  sufixos de bolsa): https://help.yahoo.com/kb/exchanges-data-providers-yahoo-finance-sln2310.html</w:t>
      </w:r>
    </w:p>
    <w:p>
      <w:pPr>
        <w:pStyle w:val="ListBullet"/>
      </w:pPr>
      <w:r>
        <w:t xml:space="preserve">Yahoo Finance — endpoint </w:t>
      </w:r>
      <w:r>
        <w:rPr>
          <w:rFonts w:ascii="Consolas" w:hAnsi="Consolas"/>
          <w:color w:val="B03060"/>
        </w:rPr>
        <w:t>chart</w:t>
      </w:r>
      <w:r>
        <w:t xml:space="preserve"> usado pelo app e pela biblioteca </w:t>
      </w:r>
      <w:r>
        <w:rPr>
          <w:rFonts w:ascii="Consolas" w:hAnsi="Consolas"/>
          <w:color w:val="B03060"/>
        </w:rPr>
        <w:t>yfinance</w:t>
      </w:r>
      <w:r>
        <w:t>:</w:t>
      </w:r>
    </w:p>
    <w:p>
      <w:r>
        <w:t xml:space="preserve">  </w:t>
      </w:r>
      <w:r>
        <w:rPr>
          <w:rFonts w:ascii="Consolas" w:hAnsi="Consolas"/>
          <w:color w:val="B03060"/>
        </w:rPr>
        <w:t>https://query1.finance.yahoo.com/v8/finance/chart/&lt;simbolo&gt;</w:t>
      </w:r>
    </w:p>
    <w:p>
      <w:pPr>
        <w:pStyle w:val="ListBullet"/>
      </w:pPr>
      <w:r>
        <w:t>Conferência dos símbolos deste documento, um a um, contra o endpoint acima em</w:t>
      </w:r>
    </w:p>
    <w:p>
      <w:r>
        <w:t xml:space="preserve">  18/08/2026: </w:t>
      </w:r>
      <w:r>
        <w:rPr>
          <w:rFonts w:ascii="Consolas" w:hAnsi="Consolas"/>
          <w:color w:val="B03060"/>
        </w:rPr>
        <w:t>ZCZ26.CBT</w:t>
      </w:r>
      <w:r>
        <w:t xml:space="preserve">, </w:t>
      </w:r>
      <w:r>
        <w:rPr>
          <w:rFonts w:ascii="Consolas" w:hAnsi="Consolas"/>
          <w:color w:val="B03060"/>
        </w:rPr>
        <w:t>ZSX26.CBT</w:t>
      </w:r>
      <w:r>
        <w:t xml:space="preserve">, </w:t>
      </w:r>
      <w:r>
        <w:rPr>
          <w:rFonts w:ascii="Consolas" w:hAnsi="Consolas"/>
          <w:color w:val="B03060"/>
        </w:rPr>
        <w:t>ZWZ26.CBT</w:t>
      </w:r>
      <w:r>
        <w:t xml:space="preserve">, </w:t>
      </w:r>
      <w:r>
        <w:rPr>
          <w:rFonts w:ascii="Consolas" w:hAnsi="Consolas"/>
          <w:color w:val="B03060"/>
        </w:rPr>
        <w:t>ZLZ26.CBT</w:t>
      </w:r>
      <w:r>
        <w:t xml:space="preserve">, </w:t>
      </w:r>
      <w:r>
        <w:rPr>
          <w:rFonts w:ascii="Consolas" w:hAnsi="Consolas"/>
          <w:color w:val="B03060"/>
        </w:rPr>
        <w:t>KCZ26.NYB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</w:rPr>
        <w:t>SBH27.NYB</w:t>
      </w:r>
      <w:r>
        <w:t xml:space="preserve">, </w:t>
      </w:r>
      <w:r>
        <w:rPr>
          <w:rFonts w:ascii="Consolas" w:hAnsi="Consolas"/>
          <w:color w:val="B03060"/>
        </w:rPr>
        <w:t>CTZ26.NYB</w:t>
      </w:r>
      <w:r>
        <w:t xml:space="preserve">, </w:t>
      </w:r>
      <w:r>
        <w:rPr>
          <w:rFonts w:ascii="Consolas" w:hAnsi="Consolas"/>
          <w:color w:val="B03060"/>
        </w:rPr>
        <w:t>CCZ26.NYB</w:t>
      </w:r>
      <w:r>
        <w:t xml:space="preserve">, </w:t>
      </w:r>
      <w:r>
        <w:rPr>
          <w:rFonts w:ascii="Consolas" w:hAnsi="Consolas"/>
          <w:color w:val="B03060"/>
        </w:rPr>
        <w:t>BZZ26.NYM</w:t>
      </w:r>
      <w:r>
        <w:t xml:space="preserve"> — todos responderam com o</w:t>
      </w:r>
    </w:p>
    <w:p>
      <w:r>
        <w:t xml:space="preserve">  nome do contrato. </w:t>
      </w:r>
      <w:r>
        <w:rPr>
          <w:rFonts w:ascii="Consolas" w:hAnsi="Consolas"/>
          <w:color w:val="B03060"/>
        </w:rPr>
        <w:t>DFH27.NYB</w:t>
      </w:r>
      <w:r>
        <w:t xml:space="preserve"> e </w:t>
      </w:r>
      <w:r>
        <w:rPr>
          <w:rFonts w:ascii="Consolas" w:hAnsi="Consolas"/>
          <w:color w:val="B03060"/>
        </w:rPr>
        <w:t>COZ26.NYB</w:t>
      </w:r>
      <w:r>
        <w:t xml:space="preserve"> responderam 404 (itens 1 e 2 do §6).</w:t>
      </w:r>
    </w:p>
    <w:p>
      <w:pPr>
        <w:pStyle w:val="ListBullet"/>
      </w:pPr>
      <w:r>
        <w:t>Banco Central do Brasil — Olinda/PTAX (a aba de moedas, que não usa este de-para):</w:t>
      </w:r>
    </w:p>
    <w:p>
      <w:r>
        <w:t xml:space="preserve">  https://olinda.bcb.gov.br/olinda/servico/PTAX/versao/v1/odata/</w:t>
      </w:r>
    </w:p>
    <w:p>
      <w:r>
        <w:t xml:space="preserve">*Gerado dos cadastros </w:t>
      </w:r>
      <w:r>
        <w:rPr>
          <w:rFonts w:ascii="Consolas" w:hAnsi="Consolas"/>
          <w:color w:val="B03060"/>
        </w:rPr>
        <w:t>quotes-commodity.json</w:t>
      </w:r>
      <w:r>
        <w:t xml:space="preserve"> e </w:t>
      </w:r>
      <w:r>
        <w:rPr>
          <w:rFonts w:ascii="Consolas" w:hAnsi="Consolas"/>
          <w:color w:val="B03060"/>
        </w:rPr>
        <w:t>quotes-equity.json</w:t>
      </w:r>
      <w:r>
        <w:t>. Ao alterar</w:t>
      </w:r>
    </w:p>
    <w:p>
      <w:r>
        <w:t xml:space="preserve">o de-para pela tela </w:t>
      </w:r>
      <w:r>
        <w:rPr>
          <w:rFonts w:ascii="Consolas" w:hAnsi="Consolas"/>
          <w:color w:val="B03060"/>
        </w:rPr>
        <w:t>/mapping</w:t>
      </w:r>
      <w:r>
        <w:t>, regenere este documento para o registro seguir</w:t>
      </w:r>
    </w:p>
    <w:p>
      <w:r>
        <w:t>valendo.*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