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40"/>
        </w:rPr>
        <w:t>SOP — Procedimento Operacional Padrão</w:t>
      </w:r>
    </w:p>
    <w:p>
      <w:pPr>
        <w:pStyle w:val="Heading2"/>
      </w:pPr>
      <w:r>
        <w:rPr>
          <w:color w:val="0066CC"/>
          <w:sz w:val="30"/>
        </w:rPr>
        <w:t>Processamento de Operações de Derivativos OTC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320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320"/>
          </w:tcPr>
          <w:p>
            <w:r>
              <w:t>Meridian Capital Markets S.A.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DeriskOne</w:t>
            </w:r>
            <w:r>
              <w:t xml:space="preserve"> — Plataforma de Back Office de Derivativos OTC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>
              <w:t>SOP-OTC-001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Classificação</w:t>
            </w:r>
          </w:p>
        </w:tc>
        <w:tc>
          <w:tcPr>
            <w:tcW w:type="dxa" w:w="4320"/>
          </w:tcPr>
          <w:p>
            <w:r>
              <w:t>Uso Interno — Operações de Back Office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320"/>
          </w:tcPr>
          <w:p>
            <w:r>
              <w:t>08/07/2026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Próxima revisão</w:t>
            </w:r>
          </w:p>
        </w:tc>
        <w:tc>
          <w:tcPr>
            <w:tcW w:type="dxa" w:w="4320"/>
          </w:tcPr>
          <w:p>
            <w:r>
              <w:t>08/01/2027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Elaborado por</w:t>
            </w:r>
          </w:p>
        </w:tc>
        <w:tc>
          <w:tcPr>
            <w:tcW w:type="dxa" w:w="4320"/>
          </w:tcPr>
          <w:p>
            <w:r>
              <w:t>Área de Documentação Técnica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Aprovado por</w:t>
            </w:r>
          </w:p>
        </w:tc>
        <w:tc>
          <w:tcPr>
            <w:tcW w:type="dxa" w:w="4320"/>
          </w:tcPr>
          <w:p>
            <w:r>
              <w:t>Gerência de Operações OTC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320"/>
          </w:tcPr>
          <w:p>
            <w:r>
              <w:t>Operador / Analista de Back Office de Derivativos</w:t>
            </w:r>
          </w:p>
        </w:tc>
      </w:tr>
    </w:tbl>
    <w:p/>
    <w:p>
      <w:pPr>
        <w:ind w:left="432"/>
        <w:shd w:val="clear" w:fill="EAF2FB"/>
      </w:pPr>
      <w:r>
        <w:rPr>
          <w:b/>
          <w:color w:val="1A3A5A"/>
        </w:rPr>
        <w:t>Aviso de confidencialidade.</w:t>
      </w:r>
      <w:r>
        <w:rPr>
          <w:color w:val="1A3A5A"/>
        </w:rPr>
        <w:t xml:space="preserve"> Todos os nomes de empresas, contrapartes, contas, datas e valores utilizados nos exemplos deste documento são </w:t>
      </w:r>
      <w:r>
        <w:rPr>
          <w:b/>
          <w:color w:val="1A3A5A"/>
        </w:rPr>
        <w:t>fictícios</w:t>
      </w:r>
      <w:r>
        <w:rPr>
          <w:color w:val="1A3A5A"/>
        </w:rPr>
        <w:t xml:space="preserve"> e servem apenas para fins ilustrativos. Nenhum dado de produção, credencial, servidor ou parâmetro de ambiente real está reproduzido aqui.</w:t>
      </w:r>
    </w:p>
    <w:p>
      <w:pPr>
        <w:pStyle w:val="Heading2"/>
      </w:pPr>
      <w:r>
        <w:rPr>
          <w:color w:val="0066CC"/>
          <w:sz w:val="30"/>
        </w:rPr>
        <w:t>2. Índice</w:t>
      </w:r>
    </w:p>
    <w:p>
      <w:pPr>
        <w:pStyle w:val="ListNumber"/>
      </w:pPr>
      <w:r>
        <w:t>Cabeçalho</w:t>
      </w:r>
    </w:p>
    <w:p>
      <w:pPr>
        <w:pStyle w:val="ListNumber"/>
      </w:pPr>
      <w:r>
        <w:t>Índice</w:t>
      </w:r>
    </w:p>
    <w:p>
      <w:pPr>
        <w:pStyle w:val="ListNumber"/>
      </w:pPr>
      <w:r>
        <w:t>Visão Geral</w:t>
      </w:r>
    </w:p>
    <w:p>
      <w:pPr>
        <w:pStyle w:val="ListBullet2"/>
      </w:pPr>
      <w:r>
        <w:t>3.1. O que o sistema faz</w:t>
      </w:r>
    </w:p>
    <w:p>
      <w:pPr>
        <w:pStyle w:val="ListBullet2"/>
      </w:pPr>
      <w:r>
        <w:t>3.2. Produtos suportados</w:t>
      </w:r>
    </w:p>
    <w:p>
      <w:pPr>
        <w:pStyle w:val="ListBullet2"/>
      </w:pPr>
      <w:r>
        <w:t>3.3. Conceito central: a Data Base</w:t>
      </w:r>
    </w:p>
    <w:p>
      <w:pPr>
        <w:pStyle w:val="ListBullet2"/>
      </w:pPr>
      <w:r>
        <w:t>3.4. Campos validados em cada operação</w:t>
      </w:r>
    </w:p>
    <w:p>
      <w:pPr>
        <w:pStyle w:val="ListBullet2"/>
      </w:pPr>
      <w:r>
        <w:t>3.5. Ciclo de vida de uma operação</w:t>
      </w:r>
    </w:p>
    <w:p>
      <w:pPr>
        <w:pStyle w:val="ListNumber"/>
      </w:pPr>
      <w:r>
        <w:t>Passo a Passo Operacional</w:t>
      </w:r>
    </w:p>
    <w:p>
      <w:pPr>
        <w:pStyle w:val="ListBullet2"/>
      </w:pPr>
      <w:r>
        <w:t>4.1. Pré-requisitos</w:t>
      </w:r>
    </w:p>
    <w:p>
      <w:pPr>
        <w:pStyle w:val="ListBullet2"/>
      </w:pPr>
      <w:r>
        <w:t>4.2. Passo 1 — Autenticar e definir a Data Base</w:t>
      </w:r>
    </w:p>
    <w:p>
      <w:pPr>
        <w:pStyle w:val="ListBullet2"/>
      </w:pPr>
      <w:r>
        <w:t>4.3. Passo 2 — Importar / salvar os arquivos de posição</w:t>
      </w:r>
    </w:p>
    <w:p>
      <w:pPr>
        <w:pStyle w:val="ListBullet2"/>
      </w:pPr>
      <w:r>
        <w:t>4.4. Passo 3 — Validar os campos da operação</w:t>
      </w:r>
    </w:p>
    <w:p>
      <w:pPr>
        <w:pStyle w:val="ListBullet2"/>
      </w:pPr>
      <w:r>
        <w:t>4.5. Passo 4 — Processar / gerar o arquivo de registro</w:t>
      </w:r>
    </w:p>
    <w:p>
      <w:pPr>
        <w:pStyle w:val="ListBullet2"/>
      </w:pPr>
      <w:r>
        <w:t>4.6. Passo 5 — Conferência (Recon) e encerramento</w:t>
      </w:r>
    </w:p>
    <w:p>
      <w:pPr>
        <w:pStyle w:val="ListNumber"/>
      </w:pPr>
      <w:r>
        <w:t>Tratamento de Exceções</w:t>
      </w:r>
    </w:p>
    <w:p>
      <w:pPr>
        <w:pStyle w:val="ListNumber"/>
      </w:pPr>
      <w:r>
        <w:t>Suporte</w:t>
      </w:r>
    </w:p>
    <w:p>
      <w:pPr>
        <w:pStyle w:val="Heading2"/>
      </w:pPr>
      <w:r>
        <w:rPr>
          <w:color w:val="0066CC"/>
          <w:sz w:val="30"/>
        </w:rPr>
        <w:t>3. Visão Geral</w:t>
      </w:r>
    </w:p>
    <w:p>
      <w:pPr>
        <w:pStyle w:val="Heading3"/>
      </w:pPr>
      <w:r>
        <w:rPr>
          <w:color w:val="222222"/>
          <w:sz w:val="25"/>
        </w:rPr>
        <w:t>3.1. O que o sistema faz</w:t>
      </w:r>
    </w:p>
    <w:p>
      <w:r>
        <w:t xml:space="preserve">O </w:t>
      </w:r>
      <w:r>
        <w:rPr>
          <w:b/>
        </w:rPr>
        <w:t>DeriskOne</w:t>
      </w:r>
      <w:r>
        <w:t xml:space="preserve"> é a plataforma de Back Office que consolida, valida, registra e concilia operações de </w:t>
      </w:r>
      <w:r>
        <w:rPr>
          <w:b/>
        </w:rPr>
        <w:t>Derivativos de Balcão (OTC)</w:t>
      </w:r>
      <w:r>
        <w:t xml:space="preserve"> ao longo do ciclo diário de liquidação. O operador não digita cada contrato manualmente: o sistema </w:t>
      </w:r>
      <w:r>
        <w:rPr>
          <w:b/>
        </w:rPr>
        <w:t>importa arquivos de posição</w:t>
      </w:r>
      <w:r>
        <w:t xml:space="preserve"> (planilhas e arquivos posicionais gerados pelos sistemas de front e pelas câmaras de registro), aplica </w:t>
      </w:r>
      <w:r>
        <w:rPr>
          <w:b/>
        </w:rPr>
        <w:t>regras de validação de negócio</w:t>
      </w:r>
      <w:r>
        <w:t xml:space="preserve">, gera os </w:t>
      </w:r>
      <w:r>
        <w:rPr>
          <w:b/>
        </w:rPr>
        <w:t>arquivos de registro/liquidação</w:t>
      </w:r>
      <w:r>
        <w:t xml:space="preserve"> no layout exigido pela câmara e permite a </w:t>
      </w:r>
      <w:r>
        <w:rPr>
          <w:b/>
        </w:rPr>
        <w:t>conciliação (recon)</w:t>
      </w:r>
      <w:r>
        <w:t xml:space="preserve"> contra os arquivos de retorno.</w:t>
      </w:r>
    </w:p>
    <w:p>
      <w:r>
        <w:t xml:space="preserve">Toda a lógica de processamento é executada no servidor por rotas de API dedicadas; cada tela do operador dispara uma dessas rotas e exibe o resultado (sucesso, contadores, ou uma mensagem de erro específica). O processamento é sempre </w:t>
      </w:r>
      <w:r>
        <w:rPr>
          <w:b/>
        </w:rPr>
        <w:t>ancorado a uma data de referência</w:t>
      </w:r>
      <w:r>
        <w:t xml:space="preserve"> (a *Data Base*), de modo que reprocessar um dia anterior nunca contamina o dia corrente.</w:t>
      </w:r>
    </w:p>
    <w:p>
      <w:pPr>
        <w:pStyle w:val="Heading3"/>
      </w:pPr>
      <w:r>
        <w:rPr>
          <w:color w:val="222222"/>
          <w:sz w:val="25"/>
        </w:rPr>
        <w:t>3.2. Produtos suportados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066CC"/>
          </w:tcPr>
          <w:p>
            <w:r>
              <w:rPr>
                <w:b/>
                <w:color w:val="FFFFFF"/>
              </w:rPr>
              <w:t>Produto OTC</w:t>
            </w:r>
          </w:p>
        </w:tc>
        <w:tc>
          <w:tcPr>
            <w:tcW w:type="dxa" w:w="4320"/>
            <w:shd w:val="clear" w:fill="0066CC"/>
          </w:tcPr>
          <w:p>
            <w:r>
              <w:rPr>
                <w:b/>
                <w:color w:val="FFFFFF"/>
              </w:rPr>
              <w:t>O que o operador faz na plataforma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Swap (MtM diário)</w:t>
            </w:r>
          </w:p>
        </w:tc>
        <w:tc>
          <w:tcPr>
            <w:tcW w:type="dxa" w:w="4320"/>
          </w:tcPr>
          <w:p>
            <w:r>
              <w:t>Importa o arquivo de posição do swap e do COE, aplica os valores de marcação a mercado (MtM), gera o arquivo de registro e envia para conferência.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Swap (Accrual — fim de mês)</w:t>
            </w:r>
          </w:p>
        </w:tc>
        <w:tc>
          <w:tcPr>
            <w:tcW w:type="dxa" w:w="4320"/>
          </w:tcPr>
          <w:p>
            <w:r>
              <w:t>Calcula/importa os fatores de accrual, gera os arquivos de validação de fim de mês (EOM) e concilia contra o retorno da câmara.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NDF (a termo de moeda)</w:t>
            </w:r>
          </w:p>
        </w:tc>
        <w:tc>
          <w:tcPr>
            <w:tcW w:type="dxa" w:w="4320"/>
          </w:tcPr>
          <w:p>
            <w:r>
              <w:t>Consolida a posição viva de NDF, classifica os contratos (Vanilla / Outro Publicador / T+0 / Commodities) e gera o arquivo de registro.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Opções (FXO e Commodities)</w:t>
            </w:r>
          </w:p>
        </w:tc>
        <w:tc>
          <w:tcPr>
            <w:tcW w:type="dxa" w:w="4320"/>
          </w:tcPr>
          <w:p>
            <w:r>
              <w:t>Mantém o cache de novos negócios, gera o arquivo de registro (Conecta) e o mapeamento para a câmara.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Liquidação / Registro em câmara</w:t>
            </w:r>
          </w:p>
        </w:tc>
        <w:tc>
          <w:tcPr>
            <w:tcW w:type="dxa" w:w="4320"/>
          </w:tcPr>
          <w:p>
            <w:r>
              <w:t xml:space="preserve">Importa, edita, adiciona, remove e </w:t>
            </w:r>
            <w:r>
              <w:rPr>
                <w:b/>
              </w:rPr>
              <w:t>confirma</w:t>
            </w:r>
            <w:r>
              <w:t xml:space="preserve"> linhas de liquidação (settlements) e operações.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Intragrupo (Intrag)</w:t>
            </w:r>
          </w:p>
        </w:tc>
        <w:tc>
          <w:tcPr>
            <w:tcW w:type="dxa" w:w="4320"/>
          </w:tcPr>
          <w:p>
            <w:r>
              <w:t xml:space="preserve">Envia, edita e </w:t>
            </w:r>
            <w:r>
              <w:rPr>
                <w:b/>
              </w:rPr>
              <w:t>aprova</w:t>
            </w:r>
            <w:r>
              <w:t xml:space="preserve"> arquivos de operações intragrupo.</w:t>
            </w:r>
          </w:p>
        </w:tc>
      </w:tr>
    </w:tbl>
    <w:p/>
    <w:p>
      <w:pPr>
        <w:pStyle w:val="Heading3"/>
      </w:pPr>
      <w:r>
        <w:rPr>
          <w:color w:val="222222"/>
          <w:sz w:val="25"/>
        </w:rPr>
        <w:t>3.3. Conceito central: a Data Base</w:t>
      </w:r>
    </w:p>
    <w:p>
      <w:r>
        <w:t xml:space="preserve">A </w:t>
      </w:r>
      <w:r>
        <w:rPr>
          <w:b/>
        </w:rPr>
        <w:t>Data Base</w:t>
      </w:r>
      <w:r>
        <w:t xml:space="preserve"> (rotulada nas telas como *Reference date* / *Data de referência*) é o eixo de todo o processamento. Regras que o operador precisa conhecer:</w:t>
      </w:r>
    </w:p>
    <w:p>
      <w:pPr>
        <w:pStyle w:val="ListBullet"/>
      </w:pPr>
      <w:r>
        <w:t xml:space="preserve">Quando o campo de data é deixado </w:t>
      </w:r>
      <w:r>
        <w:rPr>
          <w:b/>
        </w:rPr>
        <w:t>em branco</w:t>
      </w:r>
      <w:r>
        <w:t xml:space="preserve">, o sistema assume automaticamente o </w:t>
      </w:r>
      <w:r>
        <w:rPr>
          <w:b/>
        </w:rPr>
        <w:t>dia útil anterior</w:t>
      </w:r>
      <w:r>
        <w:t xml:space="preserve"> segundo o calendário de feriados (calendário da câmara/ANBIMA). O operador não precisa calcular o dia útil manualmente.</w:t>
      </w:r>
    </w:p>
    <w:p>
      <w:pPr>
        <w:pStyle w:val="ListBullet"/>
      </w:pPr>
      <w:r>
        <w:t xml:space="preserve">Todos os arquivos importados, gerados e salvos são </w:t>
      </w:r>
      <w:r>
        <w:rPr>
          <w:b/>
        </w:rPr>
        <w:t>organizados em pastas por data</w:t>
      </w:r>
      <w:r>
        <w:t xml:space="preserve"> (</w:t>
      </w:r>
      <w:r>
        <w:rPr>
          <w:rFonts w:ascii="Consolas" w:hAnsi="Consolas"/>
          <w:color w:val="B03060"/>
        </w:rPr>
        <w:t>AAAA / MM. Mês / DD</w:t>
      </w:r>
      <w:r>
        <w:t>), garantindo rastreabilidade.</w:t>
      </w:r>
    </w:p>
    <w:p>
      <w:pPr>
        <w:pStyle w:val="ListBullet"/>
      </w:pPr>
      <w:r>
        <w:t xml:space="preserve">As </w:t>
      </w:r>
      <w:r>
        <w:rPr>
          <w:b/>
        </w:rPr>
        <w:t>linhas de dados</w:t>
      </w:r>
      <w:r>
        <w:t xml:space="preserve"> de um arquivo gerado usam a Data Base; os </w:t>
      </w:r>
      <w:r>
        <w:rPr>
          <w:b/>
        </w:rPr>
        <w:t>cabeçalhos de controle</w:t>
      </w:r>
      <w:r>
        <w:t xml:space="preserve"> usam a data do sistema (hoje). Portanto, gerar um arquivo hoje para uma Data Base retroativa é uma operação suportada e esperada.</w:t>
      </w:r>
    </w:p>
    <w:p>
      <w:pPr>
        <w:pStyle w:val="ListBullet"/>
      </w:pPr>
      <w:r>
        <w:t xml:space="preserve">Reprocessar uma Data Base </w:t>
      </w:r>
      <w:r>
        <w:rPr>
          <w:b/>
        </w:rPr>
        <w:t>sobrescreve apenas a porção correspondente</w:t>
      </w:r>
      <w:r>
        <w:t xml:space="preserve"> do conjunto salvo daquele dia (ex.: reimportar o arquivo de swap preserva a porção de COE já carregada).</w:t>
      </w:r>
    </w:p>
    <w:p>
      <w:pPr>
        <w:pStyle w:val="Heading3"/>
      </w:pPr>
      <w:r>
        <w:rPr>
          <w:color w:val="222222"/>
          <w:sz w:val="25"/>
        </w:rPr>
        <w:t>3.4. Campos validados em cada operação</w:t>
      </w:r>
    </w:p>
    <w:p>
      <w:r>
        <w:t>O sistema valida, dependendo do produto, os seguintes atributos de cada contrato: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2880"/>
            <w:shd w:val="clear" w:fill="0066CC"/>
          </w:tcPr>
          <w:p>
            <w:r>
              <w:rPr>
                <w:b/>
                <w:color w:val="FFFFFF"/>
              </w:rPr>
              <w:t>Descrição</w:t>
            </w:r>
          </w:p>
        </w:tc>
        <w:tc>
          <w:tcPr>
            <w:tcW w:type="dxa" w:w="2880"/>
            <w:shd w:val="clear" w:fill="0066CC"/>
          </w:tcPr>
          <w:p>
            <w:r>
              <w:rPr>
                <w:b/>
                <w:color w:val="FFFFFF"/>
              </w:rPr>
              <w:t>Observação de validação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Trade Date</w:t>
            </w:r>
            <w:r>
              <w:t xml:space="preserve"> (Data de Negociação)</w:t>
            </w:r>
          </w:p>
        </w:tc>
        <w:tc>
          <w:tcPr>
            <w:tcW w:type="dxa" w:w="2880"/>
          </w:tcPr>
          <w:p>
            <w:r>
              <w:t>Data em que o negócio foi fechado.</w:t>
            </w:r>
          </w:p>
        </w:tc>
        <w:tc>
          <w:tcPr>
            <w:tcW w:type="dxa" w:w="2880"/>
          </w:tcPr>
          <w:p>
            <w:r>
              <w:t xml:space="preserve">Usada para agrupar os contratos por dia; formatos aceitos: </w:t>
            </w:r>
            <w:r>
              <w:rPr>
                <w:rFonts w:ascii="Consolas" w:hAnsi="Consolas"/>
                <w:color w:val="B03060"/>
              </w:rPr>
              <w:t>AAAA-MM-DD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AAAA-MM-DD HH:MM:SS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Maturity / Expiry Date</w:t>
            </w:r>
            <w:r>
              <w:t xml:space="preserve"> (Vencimento)</w:t>
            </w:r>
          </w:p>
        </w:tc>
        <w:tc>
          <w:tcPr>
            <w:tcW w:type="dxa" w:w="2880"/>
          </w:tcPr>
          <w:p>
            <w:r>
              <w:t>Data de vencimento/expiração do contrato.</w:t>
            </w:r>
          </w:p>
        </w:tc>
        <w:tc>
          <w:tcPr>
            <w:tcW w:type="dxa" w:w="2880"/>
          </w:tcPr>
          <w:p>
            <w:r>
              <w:t>Na *posição viva*, contratos vencidos são descartados da contagem.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Strike Rate</w:t>
            </w:r>
            <w:r>
              <w:t xml:space="preserve"> (Preço de exercício)</w:t>
            </w:r>
          </w:p>
        </w:tc>
        <w:tc>
          <w:tcPr>
            <w:tcW w:type="dxa" w:w="2880"/>
          </w:tcPr>
          <w:p>
            <w:r>
              <w:t>Preço de exercício das opções.</w:t>
            </w:r>
          </w:p>
        </w:tc>
        <w:tc>
          <w:tcPr>
            <w:tcW w:type="dxa" w:w="2880"/>
          </w:tcPr>
          <w:p>
            <w:r>
              <w:t>Convertido para valor numérico; strike ausente em opção bloqueia a geração do arquivo.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Notional</w:t>
            </w:r>
            <w:r>
              <w:t xml:space="preserve"> (Nocional)</w:t>
            </w:r>
          </w:p>
        </w:tc>
        <w:tc>
          <w:tcPr>
            <w:tcW w:type="dxa" w:w="2880"/>
          </w:tcPr>
          <w:p>
            <w:r>
              <w:t>Valor de referência (Total / Mínimo / Máximo).</w:t>
            </w:r>
          </w:p>
        </w:tc>
        <w:tc>
          <w:tcPr>
            <w:tcW w:type="dxa" w:w="2880"/>
          </w:tcPr>
          <w:p>
            <w:r>
              <w:t>Convertido de formato brasileiro (vírgula decimal) para numérico antes do registro.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Data Base / Data de Referência MTM</w:t>
            </w:r>
          </w:p>
        </w:tc>
        <w:tc>
          <w:tcPr>
            <w:tcW w:type="dxa" w:w="2880"/>
          </w:tcPr>
          <w:p>
            <w:r>
              <w:t>Data-âncora do processamento.</w:t>
            </w:r>
          </w:p>
        </w:tc>
        <w:tc>
          <w:tcPr>
            <w:tcW w:type="dxa" w:w="2880"/>
          </w:tcPr>
          <w:p>
            <w:r>
              <w:t>Se ausente, assume o dia útil anterior.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 do Ativo Subjacente</w:t>
            </w:r>
          </w:p>
        </w:tc>
        <w:tc>
          <w:tcPr>
            <w:tcW w:type="dxa" w:w="2880"/>
          </w:tcPr>
          <w:p>
            <w:r>
              <w:t>Categoria (ex.: Taxas de Câmbio, Commodities).</w:t>
            </w:r>
          </w:p>
        </w:tc>
        <w:tc>
          <w:tcPr>
            <w:tcW w:type="dxa" w:w="2880"/>
          </w:tcPr>
          <w:p>
            <w:r>
              <w:t>Usada para classificar e contabilizar os widgets de posição viva.</w:t>
            </w:r>
          </w:p>
        </w:tc>
      </w:tr>
    </w:tbl>
    <w:p/>
    <w:p>
      <w:pPr>
        <w:pStyle w:val="Heading3"/>
      </w:pPr>
      <w:r>
        <w:rPr>
          <w:color w:val="222222"/>
          <w:sz w:val="25"/>
        </w:rPr>
        <w:t>3.5. Ciclo de vida de uma operação</w:t>
      </w:r>
    </w:p>
    <w:p>
      <w:pPr>
        <w:shd w:val="clear" w:fill="F2F3F5"/>
      </w:pPr>
      <w:r>
        <w:rPr>
          <w:rFonts w:ascii="Consolas" w:hAnsi="Consolas"/>
          <w:sz w:val="18"/>
        </w:rPr>
        <w:t xml:space="preserve">   Definir Data Base</w:t>
        <w:br/>
        <w:t xml:space="preserve">          │</w:t>
        <w:br/>
        <w:t xml:space="preserve">          ▼</w:t>
        <w:br/>
        <w:t xml:space="preserve">   Importar arquivo de posição  ──►  Validação de negócio (campos + regras)</w:t>
        <w:br/>
        <w:t xml:space="preserve">          │                                    │</w:t>
        <w:br/>
        <w:t xml:space="preserve">          │                             (erro) │ (ok)</w:t>
        <w:br/>
        <w:t xml:space="preserve">          ▼                                    ▼</w:t>
        <w:br/>
        <w:t xml:space="preserve">   Conferir contadores/telas          Gerar arquivo de registro (câmara)</w:t>
        <w:br/>
        <w:t xml:space="preserve">          │                                    │</w:t>
        <w:br/>
        <w:t xml:space="preserve">          ▼                                    ▼</w:t>
        <w:br/>
        <w:t xml:space="preserve">   Conciliar (Recon) c/ retorno  ──►  Encerrar processo (End Process)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r>
        <w:t>Esta seção descreve o fluxo genérico. Os produtos seguem a mesma sequência lógica — muda apenas a tela de origem.</w:t>
      </w:r>
    </w:p>
    <w:p>
      <w:pPr>
        <w:pStyle w:val="Heading3"/>
      </w:pPr>
      <w:r>
        <w:rPr>
          <w:color w:val="222222"/>
          <w:sz w:val="25"/>
        </w:rPr>
        <w:t>4.1. Pré-requisitos (antes de começar)</w:t>
      </w:r>
    </w:p>
    <w:p>
      <w:pPr>
        <w:pStyle w:val="ListBullet"/>
      </w:pPr>
      <w:r>
        <w:t xml:space="preserve">Estar com </w:t>
      </w:r>
      <w:r>
        <w:rPr>
          <w:b/>
        </w:rPr>
        <w:t>sessão autenticada</w:t>
      </w:r>
      <w:r>
        <w:t xml:space="preserve"> válida (login + verificação em duas etapas). Sem autenticação, </w:t>
      </w:r>
      <w:r>
        <w:rPr>
          <w:b/>
        </w:rPr>
        <w:t>toda</w:t>
      </w:r>
      <w:r>
        <w:t xml:space="preserve"> rota de processamento é recusada com erro </w:t>
      </w:r>
      <w:r>
        <w:rPr>
          <w:rFonts w:ascii="Consolas" w:hAnsi="Consolas"/>
          <w:color w:val="B03060"/>
        </w:rPr>
        <w:t>401</w:t>
      </w:r>
      <w:r>
        <w:t>.</w:t>
      </w:r>
    </w:p>
    <w:p>
      <w:pPr>
        <w:pStyle w:val="ListBullet"/>
      </w:pPr>
      <w:r>
        <w:t xml:space="preserve">Ter os </w:t>
      </w:r>
      <w:r>
        <w:rPr>
          <w:b/>
        </w:rPr>
        <w:t>arquivos de posição do dia</w:t>
      </w:r>
      <w:r>
        <w:t xml:space="preserve"> disponíveis (na pasta de origem ou para arrastar na tela).</w:t>
      </w:r>
    </w:p>
    <w:p>
      <w:pPr>
        <w:pStyle w:val="ListBullet"/>
      </w:pPr>
      <w:r>
        <w:t xml:space="preserve">Confirmar qual é a </w:t>
      </w:r>
      <w:r>
        <w:rPr>
          <w:b/>
        </w:rPr>
        <w:t>Data Base</w:t>
      </w:r>
      <w:r>
        <w:t xml:space="preserve"> correta do processamento.</w:t>
      </w:r>
    </w:p>
    <w:p>
      <w:pPr>
        <w:ind w:left="432"/>
        <w:shd w:val="clear" w:fill="EAF2FB"/>
      </w:pPr>
      <w:r>
        <w:rPr>
          <w:b/>
          <w:color w:val="1A3A5A"/>
        </w:rPr>
        <w:t>[IMAGEM 1: Tela de login do DeriskOne, com marcações apontando para — (1) campo de usuário, (2) campo de senha, (3) botão "Entrar" e (4) campo do código de verificação em duas etapas.]</w:t>
      </w:r>
    </w:p>
    <w:p>
      <w:pPr>
        <w:pStyle w:val="Heading3"/>
      </w:pPr>
      <w:r>
        <w:rPr>
          <w:color w:val="222222"/>
          <w:sz w:val="25"/>
        </w:rPr>
        <w:t>4.2. Passo 1 — Autenticar e definir a Data Base</w:t>
      </w:r>
    </w:p>
    <w:p>
      <w:pPr>
        <w:pStyle w:val="ListNumber"/>
      </w:pPr>
      <w:r>
        <w:t>Faça login e conclua a verificação em duas etapas.</w:t>
      </w:r>
    </w:p>
    <w:p>
      <w:pPr>
        <w:pStyle w:val="ListNumber"/>
      </w:pPr>
      <w:r>
        <w:t xml:space="preserve">Acesse o </w:t>
      </w:r>
      <w:r>
        <w:rPr>
          <w:b/>
        </w:rPr>
        <w:t>Painel de Controle</w:t>
      </w:r>
      <w:r>
        <w:t xml:space="preserve"> (*Control Panel*).</w:t>
      </w:r>
    </w:p>
    <w:p>
      <w:pPr>
        <w:pStyle w:val="ListNumber"/>
      </w:pPr>
      <w:r>
        <w:t xml:space="preserve">No cartão da rotina desejada, localize o campo </w:t>
      </w:r>
      <w:r>
        <w:rPr>
          <w:b/>
        </w:rPr>
        <w:t>Reference date</w:t>
      </w:r>
      <w:r>
        <w:t xml:space="preserve"> (Data de referência). Clique no ícone de calendário para abrir o *datepicker*.</w:t>
      </w:r>
    </w:p>
    <w:p>
      <w:pPr>
        <w:pStyle w:val="ListNumber"/>
      </w:pPr>
      <w:r>
        <w:t xml:space="preserve">Selecione a Data Base. </w:t>
      </w:r>
      <w:r>
        <w:rPr>
          <w:b/>
        </w:rPr>
        <w:t>Deixe em branco</w:t>
      </w:r>
      <w:r>
        <w:t xml:space="preserve"> apenas se quiser processar o dia útil anterior automaticamente.</w:t>
      </w:r>
    </w:p>
    <w:p>
      <w:pPr>
        <w:ind w:left="432"/>
        <w:shd w:val="clear" w:fill="EAF2FB"/>
      </w:pPr>
      <w:r>
        <w:rPr>
          <w:b/>
          <w:color w:val="1A3A5A"/>
        </w:rPr>
        <w:t>Exemplo fictício:</w:t>
      </w:r>
      <w:r>
        <w:rPr>
          <w:color w:val="1A3A5A"/>
        </w:rPr>
        <w:t xml:space="preserve"> para reprocessar o fechamento do dia </w:t>
      </w:r>
      <w:r>
        <w:rPr>
          <w:b/>
          <w:color w:val="1A3A5A"/>
        </w:rPr>
        <w:t>02/03/2026</w:t>
      </w:r>
      <w:r>
        <w:rPr>
          <w:color w:val="1A3A5A"/>
        </w:rPr>
        <w:t xml:space="preserve"> da contraparte </w:t>
      </w:r>
      <w:r>
        <w:rPr>
          <w:b/>
          <w:color w:val="1A3A5A"/>
        </w:rPr>
        <w:t>Aurora Trading Ltda.</w:t>
      </w:r>
      <w:r>
        <w:rPr>
          <w:color w:val="1A3A5A"/>
        </w:rPr>
        <w:t xml:space="preserve">, o operador seleciona </w:t>
      </w:r>
      <w:r>
        <w:rPr>
          <w:rFonts w:ascii="Consolas" w:hAnsi="Consolas"/>
          <w:color w:val="1A3A5A"/>
        </w:rPr>
        <w:t>02/03/2026</w:t>
      </w:r>
      <w:r>
        <w:rPr>
          <w:color w:val="1A3A5A"/>
        </w:rPr>
        <w:t xml:space="preserve"> no campo Reference date.</w:t>
      </w:r>
    </w:p>
    <w:p>
      <w:pPr>
        <w:ind w:left="432"/>
        <w:shd w:val="clear" w:fill="EAF2FB"/>
      </w:pPr>
      <w:r>
        <w:rPr>
          <w:b/>
          <w:color w:val="1A3A5A"/>
        </w:rPr>
        <w:t>[IMAGEM 2: Cartão "Save CETIP Files" do Painel de Controle, com marcações apontando para — (1) campo "Reference date", (2) botão de calendário, (3) botão principal de processar e (4) botão secundário "Send to other areas".]</w:t>
      </w:r>
    </w:p>
    <w:p>
      <w:pPr>
        <w:pStyle w:val="Heading3"/>
      </w:pPr>
      <w:r>
        <w:rPr>
          <w:color w:val="222222"/>
          <w:sz w:val="25"/>
        </w:rPr>
        <w:t>4.3. Passo 2 — Importar / salvar os arquivos de posição</w:t>
      </w:r>
    </w:p>
    <w:p>
      <w:pPr>
        <w:pStyle w:val="ListNumber"/>
      </w:pPr>
      <w:r>
        <w:t xml:space="preserve">Na tela do produto (ex.: </w:t>
      </w:r>
      <w:r>
        <w:rPr>
          <w:b/>
        </w:rPr>
        <w:t>MtM Swap</w:t>
      </w:r>
      <w:r>
        <w:t xml:space="preserve">, </w:t>
      </w:r>
      <w:r>
        <w:rPr>
          <w:b/>
        </w:rPr>
        <w:t>NDF Cockpit</w:t>
      </w:r>
      <w:r>
        <w:t xml:space="preserve">, </w:t>
      </w:r>
      <w:r>
        <w:rPr>
          <w:b/>
        </w:rPr>
        <w:t>OTM Settlements</w:t>
      </w:r>
      <w:r>
        <w:t xml:space="preserve">), utilize a </w:t>
      </w:r>
      <w:r>
        <w:rPr>
          <w:b/>
        </w:rPr>
        <w:t>área de upload (dropzone)</w:t>
      </w:r>
      <w:r>
        <w:t xml:space="preserve"> para arrastar os arquivos, ou acione o botão de importação da pasta.</w:t>
      </w:r>
    </w:p>
    <w:p>
      <w:pPr>
        <w:pStyle w:val="ListNumber"/>
      </w:pPr>
      <w:r>
        <w:t xml:space="preserve">O sistema </w:t>
      </w:r>
      <w:r>
        <w:rPr>
          <w:b/>
        </w:rPr>
        <w:t>identifica automaticamente o tipo de arquivo</w:t>
      </w:r>
      <w:r>
        <w:t xml:space="preserve"> pelo nome (posição de swap, COE, valores de MtM, etc.) e o direciona para a porção correta do conjunto do dia.</w:t>
      </w:r>
    </w:p>
    <w:p>
      <w:pPr>
        <w:pStyle w:val="ListNumber"/>
      </w:pPr>
      <w:r>
        <w:t xml:space="preserve">Ao concluir, a tela exibe os </w:t>
      </w:r>
      <w:r>
        <w:rPr>
          <w:b/>
        </w:rPr>
        <w:t>contadores por categoria</w:t>
      </w:r>
      <w:r>
        <w:t xml:space="preserve"> (quantas linhas foram carregadas em cada livro/tabela).</w:t>
      </w:r>
    </w:p>
    <w:p>
      <w:pPr>
        <w:ind w:left="432"/>
        <w:shd w:val="clear" w:fill="EAF2FB"/>
      </w:pPr>
      <w:r>
        <w:rPr>
          <w:b/>
          <w:color w:val="1A3A5A"/>
        </w:rPr>
        <w:t>Exemplo fictício:</w:t>
      </w:r>
      <w:r>
        <w:rPr>
          <w:color w:val="1A3A5A"/>
        </w:rPr>
        <w:t xml:space="preserve"> o operador arrasta o arquivo </w:t>
      </w:r>
      <w:r>
        <w:rPr>
          <w:rFonts w:ascii="Consolas" w:hAnsi="Consolas"/>
          <w:color w:val="1A3A5A"/>
        </w:rPr>
        <w:t>Posicao_Swap_Aurora_20260302.xlsx</w:t>
      </w:r>
      <w:r>
        <w:rPr>
          <w:color w:val="1A3A5A"/>
        </w:rPr>
        <w:t xml:space="preserve">. O sistema reconhece que é o arquivo de swap, carrega </w:t>
      </w:r>
      <w:r>
        <w:rPr>
          <w:b/>
          <w:color w:val="1A3A5A"/>
        </w:rPr>
        <w:t>128</w:t>
      </w:r>
      <w:r>
        <w:rPr>
          <w:color w:val="1A3A5A"/>
        </w:rPr>
        <w:t xml:space="preserve"> contratos e exibe o contador atualizado.</w:t>
      </w:r>
    </w:p>
    <w:p>
      <w:pPr>
        <w:ind w:left="432"/>
        <w:shd w:val="clear" w:fill="EAF2FB"/>
      </w:pPr>
      <w:r>
        <w:rPr>
          <w:b/>
          <w:color w:val="1A3A5A"/>
        </w:rPr>
        <w:t>[IMAGEM 3: Tela de importação com a dropzone destacada — (1) área para arrastar arquivos, (2) lista de arquivos reconhecidos, (3) contadores por categoria após o processamento.]</w:t>
      </w:r>
    </w:p>
    <w:p>
      <w:pPr>
        <w:pStyle w:val="Heading3"/>
      </w:pPr>
      <w:r>
        <w:rPr>
          <w:color w:val="222222"/>
          <w:sz w:val="25"/>
        </w:rPr>
        <w:t>4.4. Passo 3 — Validar os campos da operação</w:t>
      </w:r>
    </w:p>
    <w:p>
      <w:pPr>
        <w:pStyle w:val="ListNumber"/>
      </w:pPr>
      <w:r>
        <w:t>Antes de gerar qualquer arquivo, revise as linhas na tabela (Trade Date, Vencimento, Strike, Nocional, Classe do Ativo).</w:t>
      </w:r>
    </w:p>
    <w:p>
      <w:pPr>
        <w:pStyle w:val="ListNumber"/>
      </w:pPr>
      <w:r>
        <w:t xml:space="preserve">Corrija linhas sinalizadas usando as ações </w:t>
      </w:r>
      <w:r>
        <w:rPr>
          <w:b/>
        </w:rPr>
        <w:t>Adicionar / Editar / Remover</w:t>
      </w:r>
      <w:r>
        <w:t xml:space="preserve"> (</w:t>
      </w:r>
      <w:r>
        <w:rPr>
          <w:rFonts w:ascii="Consolas" w:hAnsi="Consolas"/>
          <w:color w:val="B03060"/>
        </w:rPr>
        <w:t>row/add</w:t>
      </w:r>
      <w:r>
        <w:t xml:space="preserve">, </w:t>
      </w:r>
      <w:r>
        <w:rPr>
          <w:rFonts w:ascii="Consolas" w:hAnsi="Consolas"/>
          <w:color w:val="B03060"/>
        </w:rPr>
        <w:t>row/edit</w:t>
      </w:r>
      <w:r>
        <w:t xml:space="preserve">, </w:t>
      </w:r>
      <w:r>
        <w:rPr>
          <w:rFonts w:ascii="Consolas" w:hAnsi="Consolas"/>
          <w:color w:val="B03060"/>
        </w:rPr>
        <w:t>row/delete</w:t>
      </w:r>
      <w:r>
        <w:t>).</w:t>
      </w:r>
    </w:p>
    <w:p>
      <w:pPr>
        <w:pStyle w:val="ListNumber"/>
      </w:pPr>
      <w:r>
        <w:t xml:space="preserve">Marque as linhas conferidas com </w:t>
      </w:r>
      <w:r>
        <w:rPr>
          <w:b/>
        </w:rPr>
        <w:t>Confirmar</w:t>
      </w:r>
      <w:r>
        <w:t xml:space="preserve"> (</w:t>
      </w:r>
      <w:r>
        <w:rPr>
          <w:rFonts w:ascii="Consolas" w:hAnsi="Consolas"/>
          <w:color w:val="B03060"/>
        </w:rPr>
        <w:t>row/confirm</w:t>
      </w:r>
      <w:r>
        <w:t>).</w:t>
      </w:r>
    </w:p>
    <w:p>
      <w:pPr>
        <w:pStyle w:val="ListNumber"/>
      </w:pPr>
      <w:r>
        <w:t xml:space="preserve">Acione a rotina de </w:t>
      </w:r>
      <w:r>
        <w:rPr>
          <w:b/>
        </w:rPr>
        <w:t>Validação</w:t>
      </w:r>
      <w:r>
        <w:t xml:space="preserve"> do produto (ex.: *Validation* no MtM/Accrual). Se houver linhas obrigatórias ausentes, o sistema </w:t>
      </w:r>
      <w:r>
        <w:rPr>
          <w:b/>
        </w:rPr>
        <w:t>bloqueia</w:t>
      </w:r>
      <w:r>
        <w:t xml:space="preserve"> a etapa e retorna a lista dos itens pendentes.</w:t>
      </w:r>
    </w:p>
    <w:p>
      <w:pPr>
        <w:ind w:left="432"/>
        <w:shd w:val="clear" w:fill="EAF2FB"/>
      </w:pPr>
      <w:r>
        <w:rPr>
          <w:b/>
          <w:color w:val="1A3A5A"/>
        </w:rPr>
        <w:t>Exemplo fictício:</w:t>
      </w:r>
      <w:r>
        <w:rPr>
          <w:color w:val="1A3A5A"/>
        </w:rPr>
        <w:t xml:space="preserve"> ao rodar a Validação de fim de mês, o sistema retorna </w:t>
      </w:r>
      <w:r>
        <w:rPr>
          <w:rFonts w:ascii="Consolas" w:hAnsi="Consolas"/>
          <w:color w:val="1A3A5A"/>
        </w:rPr>
        <w:t>missing_accrual</w:t>
      </w:r>
      <w:r>
        <w:rPr>
          <w:color w:val="1A3A5A"/>
        </w:rPr>
        <w:t xml:space="preserve"> apontando </w:t>
      </w:r>
      <w:r>
        <w:rPr>
          <w:b/>
          <w:color w:val="1A3A5A"/>
        </w:rPr>
        <w:t>3</w:t>
      </w:r>
      <w:r>
        <w:rPr>
          <w:color w:val="1A3A5A"/>
        </w:rPr>
        <w:t xml:space="preserve"> contratos da contraparte </w:t>
      </w:r>
      <w:r>
        <w:rPr>
          <w:b/>
          <w:color w:val="1A3A5A"/>
        </w:rPr>
        <w:t>Blue Harbor Fundo Multimercado</w:t>
      </w:r>
      <w:r>
        <w:rPr>
          <w:color w:val="1A3A5A"/>
        </w:rPr>
        <w:t xml:space="preserve"> sem fator de accrual. O operador preenche os fatores e repete a validação.</w:t>
      </w:r>
    </w:p>
    <w:p>
      <w:pPr>
        <w:ind w:left="432"/>
        <w:shd w:val="clear" w:fill="EAF2FB"/>
      </w:pPr>
      <w:r>
        <w:rPr>
          <w:b/>
          <w:color w:val="1A3A5A"/>
        </w:rPr>
        <w:t>[IMAGEM 4: Tabela de operações com marcações — (1) coluna Notional, (2) coluna Strike, (3) coluna Vencimento, (4) botões de ação por linha (Editar/Remover/Confirmar) e (5) botão "Validation".]</w:t>
      </w:r>
    </w:p>
    <w:p>
      <w:pPr>
        <w:pStyle w:val="Heading3"/>
      </w:pPr>
      <w:r>
        <w:rPr>
          <w:color w:val="222222"/>
          <w:sz w:val="25"/>
        </w:rPr>
        <w:t>4.5. Passo 4 — Processar / gerar o arquivo de registro</w:t>
      </w:r>
    </w:p>
    <w:p>
      <w:pPr>
        <w:pStyle w:val="ListNumber"/>
      </w:pPr>
      <w:r>
        <w:t xml:space="preserve">Com os dados válidos, acione o botão principal de processamento da tela (ex.: </w:t>
      </w:r>
      <w:r>
        <w:rPr>
          <w:b/>
        </w:rPr>
        <w:t>Process</w:t>
      </w:r>
      <w:r>
        <w:t xml:space="preserve">, </w:t>
      </w:r>
      <w:r>
        <w:rPr>
          <w:b/>
        </w:rPr>
        <w:t>Send batch</w:t>
      </w:r>
      <w:r>
        <w:t xml:space="preserve">, </w:t>
      </w:r>
      <w:r>
        <w:rPr>
          <w:b/>
        </w:rPr>
        <w:t>Send to Conecta</w:t>
      </w:r>
      <w:r>
        <w:t>).</w:t>
      </w:r>
    </w:p>
    <w:p>
      <w:pPr>
        <w:pStyle w:val="ListNumber"/>
      </w:pPr>
      <w:r>
        <w:t xml:space="preserve">O sistema gera o </w:t>
      </w:r>
      <w:r>
        <w:rPr>
          <w:b/>
        </w:rPr>
        <w:t>arquivo de registro no layout da câmara</w:t>
      </w:r>
      <w:r>
        <w:t xml:space="preserve"> e o salva na pasta datada correspondente.</w:t>
      </w:r>
    </w:p>
    <w:p>
      <w:pPr>
        <w:pStyle w:val="ListNumber"/>
      </w:pPr>
      <w:r>
        <w:t xml:space="preserve">Quando aplicável, o sistema </w:t>
      </w:r>
      <w:r>
        <w:rPr>
          <w:b/>
        </w:rPr>
        <w:t>dispara o e-mail</w:t>
      </w:r>
      <w:r>
        <w:t xml:space="preserve"> para a área responsável (o envio ocorre em segundo plano — a resposta da tela não fica travada aguardando o servidor de e-mail).</w:t>
      </w:r>
    </w:p>
    <w:p>
      <w:pPr>
        <w:pStyle w:val="ListNumber"/>
      </w:pPr>
      <w:r>
        <w:t>Confira a mensagem de sucesso, os contadores e os nomes dos arquivos gerados/anexados.</w:t>
      </w:r>
    </w:p>
    <w:p>
      <w:pPr>
        <w:ind w:left="432"/>
        <w:shd w:val="clear" w:fill="EAF2FB"/>
      </w:pPr>
      <w:r>
        <w:rPr>
          <w:b/>
          <w:color w:val="1A3A5A"/>
        </w:rPr>
        <w:t>Exemplo fictício:</w:t>
      </w:r>
      <w:r>
        <w:rPr>
          <w:color w:val="1A3A5A"/>
        </w:rPr>
        <w:t xml:space="preserve"> o operador clica em </w:t>
      </w:r>
      <w:r>
        <w:rPr>
          <w:b/>
          <w:color w:val="1A3A5A"/>
        </w:rPr>
        <w:t>Send batch</w:t>
      </w:r>
      <w:r>
        <w:rPr>
          <w:color w:val="1A3A5A"/>
        </w:rPr>
        <w:t xml:space="preserve">. O sistema gera </w:t>
      </w:r>
      <w:r>
        <w:rPr>
          <w:rFonts w:ascii="Consolas" w:hAnsi="Consolas"/>
          <w:color w:val="1A3A5A"/>
        </w:rPr>
        <w:t>Registro_MTM_20260302.txt</w:t>
      </w:r>
      <w:r>
        <w:rPr>
          <w:color w:val="1A3A5A"/>
        </w:rPr>
        <w:t xml:space="preserve"> com </w:t>
      </w:r>
      <w:r>
        <w:rPr>
          <w:b/>
          <w:color w:val="1A3A5A"/>
        </w:rPr>
        <w:t>128</w:t>
      </w:r>
      <w:r>
        <w:rPr>
          <w:color w:val="1A3A5A"/>
        </w:rPr>
        <w:t xml:space="preserve"> registros, salva na pasta </w:t>
      </w:r>
      <w:r>
        <w:rPr>
          <w:rFonts w:ascii="Consolas" w:hAnsi="Consolas"/>
          <w:color w:val="1A3A5A"/>
        </w:rPr>
        <w:t>2026 / 03. Março / 02</w:t>
      </w:r>
      <w:r>
        <w:rPr>
          <w:color w:val="1A3A5A"/>
        </w:rPr>
        <w:t xml:space="preserve"> e enfileira o e-mail para a equipe de Operações OTC.</w:t>
      </w:r>
    </w:p>
    <w:p>
      <w:pPr>
        <w:ind w:left="432"/>
        <w:shd w:val="clear" w:fill="EAF2FB"/>
      </w:pPr>
      <w:r>
        <w:rPr>
          <w:b/>
          <w:color w:val="1A3A5A"/>
        </w:rPr>
        <w:t>[IMAGEM 5: Cartão do produto após o processamento — (1) botão "Process/Send batch", (2) resumo com contagem de registros gerados, (3) lista de arquivos gerados e (4) indicador de e-mail enfileirado.]</w:t>
      </w:r>
    </w:p>
    <w:p>
      <w:pPr>
        <w:pStyle w:val="Heading3"/>
      </w:pPr>
      <w:r>
        <w:rPr>
          <w:color w:val="222222"/>
          <w:sz w:val="25"/>
        </w:rPr>
        <w:t>4.6. Passo 5 — Conferência (Recon) e encerramento</w:t>
      </w:r>
    </w:p>
    <w:p>
      <w:pPr>
        <w:pStyle w:val="ListNumber"/>
      </w:pPr>
      <w:r>
        <w:t xml:space="preserve">Importe o </w:t>
      </w:r>
      <w:r>
        <w:rPr>
          <w:b/>
        </w:rPr>
        <w:t>arquivo de retorno</w:t>
      </w:r>
      <w:r>
        <w:t xml:space="preserve"> da câmara e acione a rotina de </w:t>
      </w:r>
      <w:r>
        <w:rPr>
          <w:b/>
        </w:rPr>
        <w:t>Recon</w:t>
      </w:r>
      <w:r>
        <w:t xml:space="preserve"> (conciliação).</w:t>
      </w:r>
    </w:p>
    <w:p>
      <w:pPr>
        <w:pStyle w:val="ListNumber"/>
      </w:pPr>
      <w:r>
        <w:t xml:space="preserve">O sistema compara o registro enviado contra o retorno e sinaliza cada linha como </w:t>
      </w:r>
      <w:r>
        <w:rPr>
          <w:b/>
        </w:rPr>
        <w:t>OK</w:t>
      </w:r>
      <w:r>
        <w:t xml:space="preserve"> ou </w:t>
      </w:r>
      <w:r>
        <w:rPr>
          <w:b/>
        </w:rPr>
        <w:t>Check</w:t>
      </w:r>
      <w:r>
        <w:t xml:space="preserve"> (divergente).</w:t>
      </w:r>
    </w:p>
    <w:p>
      <w:pPr>
        <w:pStyle w:val="ListNumber"/>
      </w:pPr>
      <w:r>
        <w:t xml:space="preserve">Trate as divergências e, quando tudo estiver conciliado, acione </w:t>
      </w:r>
      <w:r>
        <w:rPr>
          <w:b/>
        </w:rPr>
        <w:t>End Process</w:t>
      </w:r>
      <w:r>
        <w:t xml:space="preserve"> (encerrar processo) para consolidar o dia.</w:t>
      </w:r>
    </w:p>
    <w:p>
      <w:pPr>
        <w:ind w:left="432"/>
        <w:shd w:val="clear" w:fill="EAF2FB"/>
      </w:pPr>
      <w:r>
        <w:rPr>
          <w:b/>
          <w:color w:val="1A3A5A"/>
        </w:rPr>
        <w:t>[IMAGEM 6: Tela de Recon com marcações — (1) importação do arquivo de retorno, (2) coluna de status OK/Check, (3) linhas divergentes destacadas e (4) botão "End Process".]</w:t>
      </w:r>
    </w:p>
    <w:p>
      <w:pPr>
        <w:pStyle w:val="Heading2"/>
      </w:pPr>
      <w:r>
        <w:rPr>
          <w:color w:val="0066CC"/>
          <w:sz w:val="30"/>
        </w:rPr>
        <w:t>5. Tratamento de Exceções</w:t>
      </w:r>
    </w:p>
    <w:p>
      <w:r>
        <w:t xml:space="preserve">O DeriskOne devolve mensagens padronizadas por rota. A tabela abaixo mapeia os </w:t>
      </w:r>
      <w:r>
        <w:rPr>
          <w:b/>
        </w:rPr>
        <w:t>erros reais retornados pelo backend</w:t>
      </w:r>
      <w:r>
        <w:t xml:space="preserve"> e a ação recomendada ao operador.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2880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2880"/>
            <w:shd w:val="clear" w:fill="0066CC"/>
          </w:tcPr>
          <w:p>
            <w:r>
              <w:rPr>
                <w:b/>
                <w:color w:val="FFFFFF"/>
              </w:rPr>
              <w:t>O que o operador deve fazer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HTTP 401 — `Not authenticated`</w:t>
            </w:r>
          </w:p>
        </w:tc>
        <w:tc>
          <w:tcPr>
            <w:tcW w:type="dxa" w:w="2880"/>
          </w:tcPr>
          <w:p>
            <w:r>
              <w:t>A sessão expirou ou o operador não está logado.</w:t>
            </w:r>
          </w:p>
        </w:tc>
        <w:tc>
          <w:tcPr>
            <w:tcW w:type="dxa" w:w="2880"/>
          </w:tcPr>
          <w:p>
            <w:r>
              <w:t>Refaça o login e a verificação em duas etapas; repita a ação.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HTTP 400 — `No file provided.`</w:t>
            </w:r>
          </w:p>
        </w:tc>
        <w:tc>
          <w:tcPr>
            <w:tcW w:type="dxa" w:w="2880"/>
          </w:tcPr>
          <w:p>
            <w:r>
              <w:t>Nenhum arquivo foi enviado na importação.</w:t>
            </w:r>
          </w:p>
        </w:tc>
        <w:tc>
          <w:tcPr>
            <w:tcW w:type="dxa" w:w="2880"/>
          </w:tcPr>
          <w:p>
            <w:r>
              <w:t>Selecione/arraste o arquivo antes de acionar o botão.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HTTP 400 — `Invalid date (expected YYYY-MM-DD).`</w:t>
            </w:r>
          </w:p>
        </w:tc>
        <w:tc>
          <w:tcPr>
            <w:tcW w:type="dxa" w:w="2880"/>
          </w:tcPr>
          <w:p>
            <w:r>
              <w:t>A data informada está em formato inválido.</w:t>
            </w:r>
          </w:p>
        </w:tc>
        <w:tc>
          <w:tcPr>
            <w:tcW w:type="dxa" w:w="2880"/>
          </w:tcPr>
          <w:p>
            <w:r>
              <w:t>Use o *datepicker* em vez de digitar; confira o formato da Data Base.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HTTP 400 — `Unrecognized file. Expected the swap / COE / values file.`</w:t>
            </w:r>
          </w:p>
        </w:tc>
        <w:tc>
          <w:tcPr>
            <w:tcW w:type="dxa" w:w="2880"/>
          </w:tcPr>
          <w:p>
            <w:r>
              <w:t>O nome do arquivo não corresponde a nenhum tipo esperado.</w:t>
            </w:r>
          </w:p>
        </w:tc>
        <w:tc>
          <w:tcPr>
            <w:tcW w:type="dxa" w:w="2880"/>
          </w:tcPr>
          <w:p>
            <w:r>
              <w:t>Verifique se está enviando o arquivo correto e com o nome padrão; renomeie se necessário.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HTTP 400 — `No files found in the source folder.`</w:t>
            </w:r>
          </w:p>
        </w:tc>
        <w:tc>
          <w:tcPr>
            <w:tcW w:type="dxa" w:w="2880"/>
          </w:tcPr>
          <w:p>
            <w:r>
              <w:t>A pasta de origem da Data Base está vazia.</w:t>
            </w:r>
          </w:p>
        </w:tc>
        <w:tc>
          <w:tcPr>
            <w:tcW w:type="dxa" w:w="2880"/>
          </w:tcPr>
          <w:p>
            <w:r>
              <w:t>Confirme se os arquivos do dia já foram depositados na pasta; aguarde a carga da câmara ou corrija a Data Base.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HTTP 400 — `No CEM/EDG rows loaded for this date — import the … file first.`</w:t>
            </w:r>
          </w:p>
        </w:tc>
        <w:tc>
          <w:tcPr>
            <w:tcW w:type="dxa" w:w="2880"/>
          </w:tcPr>
          <w:p>
            <w:r>
              <w:t>Tentou-se aplicar valores de MtM antes de importar a posição base.</w:t>
            </w:r>
          </w:p>
        </w:tc>
        <w:tc>
          <w:tcPr>
            <w:tcW w:type="dxa" w:w="2880"/>
          </w:tcPr>
          <w:p>
            <w:r>
              <w:t>Importe primeiro o arquivo de posição; depois aplique os valores.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HTTP 400 — `missing_accrual` (+ lista de pendências)</w:t>
            </w:r>
          </w:p>
        </w:tc>
        <w:tc>
          <w:tcPr>
            <w:tcW w:type="dxa" w:w="2880"/>
          </w:tcPr>
          <w:p>
            <w:r>
              <w:t>Existem contratos obrigatórios sem fator de accrual na validação de fim de mês.</w:t>
            </w:r>
          </w:p>
        </w:tc>
        <w:tc>
          <w:tcPr>
            <w:tcW w:type="dxa" w:w="2880"/>
          </w:tcPr>
          <w:p>
            <w:r>
              <w:t>Preencha os fatores dos contratos listados e rode a Validação novamente.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HTTP 400 — `No … records to validate / No deals provided`</w:t>
            </w:r>
          </w:p>
        </w:tc>
        <w:tc>
          <w:tcPr>
            <w:tcW w:type="dxa" w:w="2880"/>
          </w:tcPr>
          <w:p>
            <w:r>
              <w:t>Não há registros elegíveis para o processamento acionado.</w:t>
            </w:r>
          </w:p>
        </w:tc>
        <w:tc>
          <w:tcPr>
            <w:tcW w:type="dxa" w:w="2880"/>
          </w:tcPr>
          <w:p>
            <w:r>
              <w:t>Verifique se a importação trouxe linhas e se a Data Base está correta.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HTTP 404 — `No saved data for this date.`</w:t>
            </w:r>
          </w:p>
        </w:tc>
        <w:tc>
          <w:tcPr>
            <w:tcW w:type="dxa" w:w="2880"/>
          </w:tcPr>
          <w:p>
            <w:r>
              <w:t>Não existe conjunto salvo para a Data Base selecionada.</w:t>
            </w:r>
          </w:p>
        </w:tc>
        <w:tc>
          <w:tcPr>
            <w:tcW w:type="dxa" w:w="2880"/>
          </w:tcPr>
          <w:p>
            <w:r>
              <w:t>Rode primeiro a importação/processamento do dia antes da validação ou do recon.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HTTP 500 — `Failed to read the file.` / `Failed to save.` / `Failed to write the batch files.`</w:t>
            </w:r>
          </w:p>
        </w:tc>
        <w:tc>
          <w:tcPr>
            <w:tcW w:type="dxa" w:w="2880"/>
          </w:tcPr>
          <w:p>
            <w:r>
              <w:t>Falha interna ao ler, salvar ou gerar arquivos (erro registrado no log do servidor com *traceback*).</w:t>
            </w:r>
          </w:p>
        </w:tc>
        <w:tc>
          <w:tcPr>
            <w:tcW w:type="dxa" w:w="2880"/>
          </w:tcPr>
          <w:p>
            <w:r>
              <w:t>Não é erro de digitação: tente novamente uma vez; se persistir, acione o Suporte de TI informando a rotina, a Data Base e o horário.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Validação de formulário (campo inválido na tela)</w:t>
            </w:r>
          </w:p>
        </w:tc>
        <w:tc>
          <w:tcPr>
            <w:tcW w:type="dxa" w:w="2880"/>
          </w:tcPr>
          <w:p>
            <w:r>
              <w:t>Campo obrigatório vazio ou valor fora do padrão (ex.: Strike ausente em opção, Nocional não numérico).</w:t>
            </w:r>
          </w:p>
        </w:tc>
        <w:tc>
          <w:tcPr>
            <w:tcW w:type="dxa" w:w="2880"/>
          </w:tcPr>
          <w:p>
            <w:r>
              <w:t>Corrija o campo destacado na linha (Editar) e reconfirme antes de processar.</w:t>
            </w:r>
          </w:p>
        </w:tc>
      </w:tr>
    </w:tbl>
    <w:p/>
    <w:p>
      <w:pPr>
        <w:ind w:left="432"/>
        <w:shd w:val="clear" w:fill="EAF2FB"/>
      </w:pPr>
      <w:r>
        <w:rPr>
          <w:b/>
          <w:color w:val="1A3A5A"/>
        </w:rPr>
        <w:t>Regra geral de leitura de erros:</w:t>
      </w:r>
      <w:r>
        <w:rPr>
          <w:color w:val="1A3A5A"/>
        </w:rPr>
        <w:t xml:space="preserve"> mensagens </w:t>
      </w:r>
      <w:r>
        <w:rPr>
          <w:b/>
          <w:color w:val="1A3A5A"/>
        </w:rPr>
        <w:t>HTTP 400/404</w:t>
      </w:r>
      <w:r>
        <w:rPr>
          <w:color w:val="1A3A5A"/>
        </w:rPr>
        <w:t xml:space="preserve"> indicam algo que o </w:t>
      </w:r>
      <w:r>
        <w:rPr>
          <w:b/>
          <w:color w:val="1A3A5A"/>
        </w:rPr>
        <w:t>operador pode corrigir</w:t>
      </w:r>
      <w:r>
        <w:rPr>
          <w:color w:val="1A3A5A"/>
        </w:rPr>
        <w:t xml:space="preserve"> (arquivo, data ou dado faltante). Mensagens </w:t>
      </w:r>
      <w:r>
        <w:rPr>
          <w:b/>
          <w:color w:val="1A3A5A"/>
        </w:rPr>
        <w:t>HTTP 500</w:t>
      </w:r>
      <w:r>
        <w:rPr>
          <w:color w:val="1A3A5A"/>
        </w:rPr>
        <w:t xml:space="preserve"> indicam </w:t>
      </w:r>
      <w:r>
        <w:rPr>
          <w:b/>
          <w:color w:val="1A3A5A"/>
        </w:rPr>
        <w:t>falha do sistema</w:t>
      </w:r>
      <w:r>
        <w:rPr>
          <w:color w:val="1A3A5A"/>
        </w:rPr>
        <w:t xml:space="preserve"> — devem ser encaminhadas ao Suporte de TI, pois ficam registradas no log com o rastreamento completo.</w:t>
      </w:r>
    </w:p>
    <w:p>
      <w:pPr>
        <w:pStyle w:val="Heading2"/>
      </w:pPr>
      <w:r>
        <w:rPr>
          <w:color w:val="0066CC"/>
          <w:sz w:val="30"/>
        </w:rPr>
        <w:t>6. Suporte</w:t>
      </w:r>
    </w:p>
    <w:p>
      <w:pPr>
        <w:ind w:left="432"/>
        <w:shd w:val="clear" w:fill="EAF2FB"/>
      </w:pPr>
      <w:r>
        <w:rPr>
          <w:color w:val="1A3A5A"/>
        </w:rPr>
        <w:t xml:space="preserve">Os contatos abaixo são </w:t>
      </w:r>
      <w:r>
        <w:rPr>
          <w:b/>
          <w:color w:val="1A3A5A"/>
        </w:rPr>
        <w:t>fictícios</w:t>
      </w:r>
      <w:r>
        <w:rPr>
          <w:color w:val="1A3A5A"/>
        </w:rPr>
        <w:t xml:space="preserve"> e servem apenas de modelo para o preenchimento com os dados reais da sua organização.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2160"/>
            <w:shd w:val="clear" w:fill="0066CC"/>
          </w:tcPr>
          <w:p>
            <w:r>
              <w:rPr>
                <w:b/>
                <w:color w:val="FFFFFF"/>
              </w:rPr>
              <w:t>Canal</w:t>
            </w:r>
          </w:p>
        </w:tc>
        <w:tc>
          <w:tcPr>
            <w:tcW w:type="dxa" w:w="2160"/>
            <w:shd w:val="clear" w:fill="0066CC"/>
          </w:tcPr>
          <w:p>
            <w:r>
              <w:rPr>
                <w:b/>
                <w:color w:val="FFFFFF"/>
              </w:rPr>
              <w:t>Contato</w:t>
            </w:r>
          </w:p>
        </w:tc>
        <w:tc>
          <w:tcPr>
            <w:tcW w:type="dxa" w:w="2160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 — Central de Serviços de TI</w:t>
            </w:r>
          </w:p>
        </w:tc>
        <w:tc>
          <w:tcPr>
            <w:tcW w:type="dxa" w:w="2160"/>
          </w:tcPr>
          <w:p>
            <w:r>
              <w:t>Portal / Telefone</w:t>
            </w:r>
          </w:p>
        </w:tc>
        <w:tc>
          <w:tcPr>
            <w:tcW w:type="dxa" w:w="2160"/>
          </w:tcPr>
          <w:p>
            <w:r>
              <w:t>portal.suporte.meridian.example · +55 (11) 4000-0000</w:t>
            </w:r>
          </w:p>
        </w:tc>
        <w:tc>
          <w:tcPr>
            <w:tcW w:type="dxa" w:w="2160"/>
          </w:tcPr>
          <w:p>
            <w:r>
              <w:t>24 x 7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— Suporte à Aplicação (DeriskOne)</w:t>
            </w:r>
          </w:p>
        </w:tc>
        <w:tc>
          <w:tcPr>
            <w:tcW w:type="dxa" w:w="2160"/>
          </w:tcPr>
          <w:p>
            <w:r>
              <w:t>E-mail</w:t>
            </w:r>
          </w:p>
        </w:tc>
        <w:tc>
          <w:tcPr>
            <w:tcW w:type="dxa" w:w="2160"/>
          </w:tcPr>
          <w:p>
            <w:r>
              <w:t>suporte.deriskone@meridian.example</w:t>
            </w:r>
          </w:p>
        </w:tc>
        <w:tc>
          <w:tcPr>
            <w:tcW w:type="dxa" w:w="2160"/>
          </w:tcPr>
          <w:p>
            <w:r>
              <w:t>Dias úteis, 07h–20h (BRT)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 — Especialista de Back Office OTC (plantão)</w:t>
            </w:r>
          </w:p>
        </w:tc>
        <w:tc>
          <w:tcPr>
            <w:tcW w:type="dxa" w:w="2160"/>
          </w:tcPr>
          <w:p>
            <w:r>
              <w:t>E-mail / Telefone</w:t>
            </w:r>
          </w:p>
        </w:tc>
        <w:tc>
          <w:tcPr>
            <w:tcW w:type="dxa" w:w="2160"/>
          </w:tcPr>
          <w:p>
            <w:r>
              <w:t>plantao.otc@meridian.example · +55 (11) 4000-0099</w:t>
            </w:r>
          </w:p>
        </w:tc>
        <w:tc>
          <w:tcPr>
            <w:tcW w:type="dxa" w:w="2160"/>
          </w:tcPr>
          <w:p>
            <w:r>
              <w:t>Dias úteis, 06h–22h (BRT)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Emergências de fechamento</w:t>
            </w:r>
          </w:p>
        </w:tc>
        <w:tc>
          <w:tcPr>
            <w:tcW w:type="dxa" w:w="2160"/>
          </w:tcPr>
          <w:p>
            <w:r>
              <w:t>Telefone (plantão)</w:t>
            </w:r>
          </w:p>
        </w:tc>
        <w:tc>
          <w:tcPr>
            <w:tcW w:type="dxa" w:w="2160"/>
          </w:tcPr>
          <w:p>
            <w:r>
              <w:t>+55 (11) 90000-0000</w:t>
            </w:r>
          </w:p>
        </w:tc>
        <w:tc>
          <w:tcPr>
            <w:tcW w:type="dxa" w:w="2160"/>
          </w:tcPr>
          <w:p>
            <w:r>
              <w:t>Durante a janela de liquidação</w:t>
            </w:r>
          </w:p>
        </w:tc>
      </w:tr>
    </w:tbl>
    <w:p/>
    <w:p>
      <w:r>
        <w:rPr>
          <w:b/>
        </w:rPr>
        <w:t>Ao abrir um chamado, informe sempre:</w:t>
      </w:r>
    </w:p>
    <w:p>
      <w:pPr>
        <w:pStyle w:val="ListNumber"/>
      </w:pPr>
      <w:r>
        <w:t xml:space="preserve">A </w:t>
      </w:r>
      <w:r>
        <w:rPr>
          <w:b/>
        </w:rPr>
        <w:t>rotina/tela</w:t>
      </w:r>
      <w:r>
        <w:t xml:space="preserve"> utilizada (ex.: MtM Swap → Send batch).</w:t>
      </w:r>
    </w:p>
    <w:p>
      <w:pPr>
        <w:pStyle w:val="ListNumber"/>
      </w:pPr>
      <w:r>
        <w:t xml:space="preserve">A </w:t>
      </w:r>
      <w:r>
        <w:rPr>
          <w:b/>
        </w:rPr>
        <w:t>Data Base</w:t>
      </w:r>
      <w:r>
        <w:t xml:space="preserve"> do processamento.</w:t>
      </w:r>
    </w:p>
    <w:p>
      <w:pPr>
        <w:pStyle w:val="ListNumber"/>
      </w:pPr>
      <w:r>
        <w:t xml:space="preserve">A </w:t>
      </w:r>
      <w:r>
        <w:rPr>
          <w:b/>
        </w:rPr>
        <w:t>mensagem de erro exata</w:t>
      </w:r>
      <w:r>
        <w:t xml:space="preserve"> exibida na tela e o </w:t>
      </w:r>
      <w:r>
        <w:rPr>
          <w:b/>
        </w:rPr>
        <w:t>horário</w:t>
      </w:r>
      <w:r>
        <w:t xml:space="preserve"> aproximado.</w:t>
      </w:r>
    </w:p>
    <w:p>
      <w:pPr>
        <w:pStyle w:val="ListNumber"/>
      </w:pPr>
      <w:r>
        <w:t xml:space="preserve">O </w:t>
      </w:r>
      <w:r>
        <w:rPr>
          <w:b/>
        </w:rPr>
        <w:t>nome do arquivo</w:t>
      </w:r>
      <w:r>
        <w:t xml:space="preserve"> envolvido (sem anexar dados sensíveis de clientes).</w:t>
      </w:r>
    </w:p>
    <w:p>
      <w:r>
        <w:t>*Documento gerado pela área de Documentação Técnica — Meridian Capital Markets S.A. Uso interno. Revisar semestralmente ou a cada mudança relevante no fluxo de processamento OTC.*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