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B3 Accounts</w:t>
            </w:r>
          </w:p>
        </w:tc>
        <w:tc>
          <w:tcPr>
            <w:tcW w:type="dxa" w:w="4968"/>
          </w:tcPr>
          <w:p>
            <w:r>
              <w:t>As contas da B3 de cada entidade nossa — LE, Nome Simplificado, conta e tipo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B3 Accounts</w:t>
      </w:r>
      <w:r>
        <w:rPr>
          <w:color w:val="1A3A5A"/>
        </w:rPr>
        <w:t xml:space="preserve"> responde a duas perguntas de uma vez, e por isso o </w:t>
      </w:r>
      <w:r>
        <w:rPr>
          <w:b/>
          <w:color w:val="1A3A5A"/>
        </w:rPr>
        <w:t>Account Type</w:t>
      </w:r>
      <w:r>
        <w:rPr>
          <w:color w:val="1A3A5A"/>
        </w:rPr>
        <w:t xml:space="preserve"> não é enfeite: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OWN</w:t>
      </w:r>
      <w:r>
        <w:rPr>
          <w:color w:val="1A3A5A"/>
        </w:rPr>
        <w:t xml:space="preserve"> é a conta própria da entidade — a posição da casa.</w:t>
      </w: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CLIENT 1</w:t>
      </w:r>
      <w:r>
        <w:rPr>
          <w:color w:val="1A3A5A"/>
        </w:rPr>
        <w:t xml:space="preserve"> e </w:t>
      </w:r>
      <w:r>
        <w:rPr>
          <w:b/>
          <w:color w:val="1A3A5A"/>
        </w:rPr>
        <w:t>CLIENT 2</w:t>
      </w:r>
      <w:r>
        <w:rPr>
          <w:color w:val="1A3A5A"/>
        </w:rPr>
        <w:t xml:space="preserve"> são contas guarda-chuva: nelas o nome que vem da B3 é o do </w:t>
      </w:r>
      <w:r>
        <w:rPr>
          <w:b/>
          <w:color w:val="1A3A5A"/>
        </w:rPr>
        <w:t>titular do guarda-chuva</w:t>
      </w:r>
      <w:r>
        <w:rPr>
          <w:color w:val="1A3A5A"/>
        </w:rPr>
        <w:t xml:space="preserve">, não o do cliente, e o sistema descobre o cliente pelo </w:t>
      </w:r>
      <w:r>
        <w:rPr>
          <w:b/>
          <w:color w:val="1A3A5A"/>
        </w:rPr>
        <w:t>CNPJ</w:t>
      </w:r>
      <w:r>
        <w:rPr>
          <w:color w:val="1A3A5A"/>
        </w:rPr>
        <w:t>. Cadastrar uma conta de cliente como *OWN* faz o aviso de liquidação sair endereçado ao titular, com tudo preenchido e parecendo certo.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Simplified Name</w:t>
      </w:r>
      <w:r>
        <w:rPr>
          <w:color w:val="1A3A5A"/>
        </w:rPr>
        <w:t xml:space="preserve"> é o nome que vai no campo *Participante* do cabeçalho dos arquivos de registro enviados à B3. Entidade sem esse nome cadastrado faz o envio parar com uma mensagem dizendo qual entidade falta — em vez de mandar um arquivo com o campo em branco.</w:t>
      </w:r>
    </w:p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 xml:space="preserve">Os cards são agrupados em </w:t>
      </w:r>
      <w:r>
        <w:rPr>
          <w:b/>
        </w:rPr>
        <w:t>cinco seções</w:t>
      </w:r>
      <w:r>
        <w:t xml:space="preserve">, e o que agrupa não é o que a rotina *faz* e sim </w:t>
      </w:r>
      <w:r>
        <w:rPr>
          <w:b/>
        </w:rPr>
        <w:t>quando</w:t>
      </w:r>
      <w:r>
        <w:t xml:space="preserve"> ela acontece e sobre o que ela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Você pode ver menos cards do que a lista acima.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rotina</w:t>
      </w:r>
      <w:r>
        <w:rPr>
          <w:color w:val="1A3A5A"/>
        </w:rPr>
        <w:t>, não pela página inteira: o administrador libera cada card no *Page Access*, e o cabeçalho de uma seção só aparece se você tiver ao menos um card dela. Se falta uma rotina que você precisa operar, o pedido é de acesso àquele card.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*SWAP (Strategy)*, posição de NDF/Termo, de Opção,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posição de NDF/Termo e a de Opção vão para os dois BACC, e o arquivo não é o mesmo.</w:t>
      </w:r>
      <w:r>
        <w:rPr>
          <w:color w:val="1A3A5A"/>
        </w:rPr>
        <w:t xml:space="preserve"> No *Intragroup* ele vai recortado; no *HUB* vai inteiro. É por isso que são dois e-mails: num só, o recorte e o arquivo cheio chegariam com o mesmo nome na mesma mensagem.</w:t>
      </w:r>
    </w:p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Um arquivo que some do e-mail sem dizer nada costuma ser o nome da linha em *Mapping → CETIP Files*.</w:t>
      </w:r>
      <w:r>
        <w:rPr>
          <w:color w:val="1A3A5A"/>
        </w:rPr>
        <w:t xml:space="preserve"> O sistema liga cada linha do cadastro ao que ela faz (virar JSON, ir para o Sales Support, entrar no recorte do BACC) pelo </w:t>
      </w:r>
      <w:r>
        <w:rPr>
          <w:b/>
          <w:color w:val="1A3A5A"/>
        </w:rPr>
        <w:t>Type</w:t>
      </w:r>
      <w:r>
        <w:rPr>
          <w:color w:val="1A3A5A"/>
        </w:rPr>
        <w:t xml:space="preserve">, e o que identifica o arquivo ali é o trecho </w:t>
      </w:r>
      <w:r>
        <w:rPr>
          <w:b/>
          <w:color w:val="1A3A5A"/>
        </w:rPr>
        <w:t>entre parênteses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(DPOSICAO-TER)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(OPC DPOSICAO)</w:t>
      </w:r>
      <w:r>
        <w:rPr>
          <w:color w:val="1A3A5A"/>
        </w:rPr>
        <w:t xml:space="preserve">. O texto antes dos parênteses é só descrição e pode ser reescrito à vontade; </w:t>
      </w:r>
      <w:r>
        <w:rPr>
          <w:b/>
          <w:color w:val="1A3A5A"/>
        </w:rPr>
        <w:t>o que está entre parênteses, não</w:t>
      </w:r>
      <w:r>
        <w:rPr>
          <w:color w:val="1A3A5A"/>
        </w:rPr>
        <w:t>. Mudou, e o arquivo passa a ser só salvo: some dos e-mails e dos relatórios, calado.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dela</w:t>
      </w:r>
      <w:r>
        <w:rPr>
          <w:color w:val="1A3A5A"/>
        </w:rPr>
        <w:t xml:space="preserve">, não o número — em NDF, Option e Swap (Características). O sistema procura o documento no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e escreve a razão social ali.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Quando a célula continua mostrando o </w:t>
      </w:r>
      <w:r>
        <w:rPr>
          <w:b/>
          <w:color w:val="1A3A5A"/>
        </w:rPr>
        <w:t>número</w:t>
      </w:r>
      <w:r>
        <w:rPr>
          <w:color w:val="1A3A5A"/>
        </w:rPr>
        <w:t xml:space="preserve">, é porque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no Reference Data. O número fica de propósito: apagá-lo esconderia justamente a contraparte que falta cadastrar. Cadastre em </w:t>
      </w:r>
      <w:r>
        <w:rPr>
          <w:b/>
          <w:color w:val="1A3A5A"/>
        </w:rPr>
        <w:t>Data Base → Reference Data</w:t>
      </w:r>
      <w:r>
        <w:rPr>
          <w:color w:val="1A3A5A"/>
        </w:rPr>
        <w:t xml:space="preserve"> (item 3.12) e a coluna passa a mostrar o nome na consulta seguinte.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continua mostrando o documento — ela é a nossa perna, e o nome dela já está na coluna ao lado.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3"/>
      </w:pPr>
      <w:r>
        <w:rPr>
          <w:sz w:val="25"/>
        </w:rPr>
        <w:t>3.19. Holidays Calendar — os feriados que o sistema usa</w:t>
      </w:r>
    </w:p>
    <w:p>
      <w:r>
        <w:t xml:space="preserve">Caminho no menu: </w:t>
      </w:r>
      <w:r>
        <w:rPr>
          <w:b/>
        </w:rPr>
        <w:t>Apps → Holidays Calendar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87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tela guarda os calendários de feriados que o sistema usa para contar dias úteis — a Data Base (dia útil anterior), a projeção de liquidações e os prazos das mesas. Cada calendário tem a sua </w:t>
      </w:r>
      <w:r>
        <w:rPr>
          <w:b/>
        </w:rPr>
        <w:t>cor</w:t>
      </w:r>
      <w:r>
        <w:t>, e é por ela que você o reconhece no mês.</w:t>
      </w:r>
    </w:p>
    <w:p>
      <w:r>
        <w:rPr>
          <w:b/>
        </w:rPr>
        <w:t>Para incluir um feriado avulso:</w:t>
      </w:r>
      <w:r>
        <w:t xml:space="preserve"> clique na data (ou em </w:t>
      </w:r>
      <w:r>
        <w:rPr>
          <w:b/>
        </w:rPr>
        <w:t>Create New Holiday</w:t>
      </w:r>
      <w:r>
        <w:t xml:space="preserve">), preencha a data, o nome do feriado e escolha o calendário. Também dá para </w:t>
      </w:r>
      <w:r>
        <w:rPr>
          <w:b/>
        </w:rPr>
        <w:t>arrastar</w:t>
      </w:r>
      <w:r>
        <w:t xml:space="preserve"> o calendário da barra lateral direto para o dia.</w:t>
      </w:r>
    </w:p>
    <w:p>
      <w:r>
        <w:rPr>
          <w:b/>
        </w:rPr>
        <w:t>Para criar um calendário inteiro a partir de uma planilha: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 ao calendário — é como ele vai aparecer na barra lateral e na lista de escolha.</w:t>
      </w:r>
    </w:p>
    <w:p>
      <w:pPr>
        <w:pStyle w:val="ListNumber"/>
      </w:pPr>
      <w:r>
        <w:t xml:space="preserve">Arraste o </w:t>
      </w:r>
      <w:r>
        <w:rPr>
          <w:b/>
        </w:rPr>
        <w:t>.xlsx</w:t>
      </w:r>
      <w:r>
        <w:t xml:space="preserve"> para a área tracejada, ou clique nela para procurar o arquivo.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r>
        <w:t xml:space="preserve">A planilha tem </w:t>
      </w:r>
      <w:r>
        <w:rPr>
          <w:b/>
        </w:rPr>
        <w:t>uma aba</w:t>
      </w:r>
      <w:r>
        <w:t xml:space="preserve"> com três colunas,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Entra?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— Holiday</w:t>
            </w:r>
          </w:p>
        </w:tc>
        <w:tc>
          <w:tcPr>
            <w:tcW w:type="dxa" w:w="3312"/>
          </w:tcPr>
          <w:p>
            <w:r>
              <w:t xml:space="preserve">a data, no formato </w:t>
            </w:r>
            <w:r>
              <w:rPr>
                <w:rFonts w:ascii="Consolas" w:hAnsi="Consolas"/>
                <w:color w:val="B03060"/>
              </w:rPr>
              <w:t>aaaa-mm-dd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 — Description</w:t>
            </w:r>
          </w:p>
        </w:tc>
        <w:tc>
          <w:tcPr>
            <w:tcW w:type="dxa" w:w="3312"/>
          </w:tcPr>
          <w:p>
            <w:r>
              <w:t>o nome do feriado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 — Holiday Type</w:t>
            </w:r>
          </w:p>
        </w:tc>
        <w:tc>
          <w:tcPr>
            <w:tcW w:type="dxa" w:w="3312"/>
          </w:tcPr>
          <w:p>
            <w:r>
              <w:t>o tipo</w:t>
            </w:r>
          </w:p>
        </w:tc>
        <w:tc>
          <w:tcPr>
            <w:tcW w:type="dxa" w:w="3312"/>
          </w:tcPr>
          <w:p>
            <w:r>
              <w:t>não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linha de cabeçalho não atrapalha</w:t>
      </w:r>
      <w:r>
        <w:rPr>
          <w:color w:val="1A3A5A"/>
        </w:rPr>
        <w:t xml:space="preserve"> — o sistema descarta o que não é data, e isso vale também para a linha em branco do fim e para um eventual rodapé de total. Datas repetidas entram uma vez só, e linha sem descrição é ignorada.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resposta for "No holiday found"</w:t>
      </w:r>
      <w:r>
        <w:rPr>
          <w:color w:val="1A3A5A"/>
        </w:rPr>
        <w:t xml:space="preserve">, a coluna A não está sendo lida como data ou a coluna B está vazia. Confira se as datas estão em </w:t>
      </w:r>
      <w:r>
        <w:rPr>
          <w:rFonts w:ascii="Consolas" w:hAnsi="Consolas"/>
          <w:color w:val="1A3A5A"/>
        </w:rPr>
        <w:t>aaaa-mm-dd</w:t>
      </w:r>
      <w:r>
        <w:rPr>
          <w:color w:val="1A3A5A"/>
        </w:rPr>
        <w:t xml:space="preserve"> e se as duas colunas estão na ordem acima.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cor do calendário novo é escolhida pelo sistema</w:t>
      </w:r>
      <w:r>
        <w:rPr>
          <w:color w:val="1A3A5A"/>
        </w:rPr>
        <w:t>, entre as que ainda não estão em uso — para dois calendários nunca se confundirem no mês.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>Depois de criado, ele é um calendário como qualquer outro: aparece na barra lateral, pode receber feriado avulso pelo modal e serve como agenda de feriados nas telas que pedem um *holiday schedule*.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