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lcp_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8n77d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vymq7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KPI · Intraday Monitor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*(NDF › FX e NDF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kbip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xpif9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c7331c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ye9tx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ulfyj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591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thwu51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9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9otest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s4biwn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1ui5ws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9z63i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7vnnm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yzei9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gy2413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gif2ou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1kawlx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juq9d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lpbj29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ipggu_z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gsdazc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p0pjh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w66laa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vmb7ji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908vk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07o3cb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oyoasiv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ep3wr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rc2uk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yji8p6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cp61vqk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2a1br7z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b5ebu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x8a5pji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jdwb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h9jwy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u4qwf9i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s3euna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67yty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kr1x1__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v3866g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9i04k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nn_as6i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n011tl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2nu2g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lgzkob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be_zw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mnmf_7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hvpa1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pgilmqo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pyxprx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apc4e5x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wc4wpg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pc5tbz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j4l21f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h2td75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_7m32bx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nb3eni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av46jo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fl9ac4i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kbip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mjbd9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8c9zf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blzrcc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x1n0l2q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lcp_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qpuc53g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