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Architect Deep Dive: Tanisha Mukherjee</w:t>
      </w:r>
    </w:p>
    <w:p>
      <w:pPr>
        <w:jc w:val="center"/>
      </w:pPr>
      <w:r>
        <w:rPr>
          <w:b/>
        </w:rPr>
        <w:t>Lead Backend Developer &amp; Agentic AI Architect (LangGraph)</w:t>
      </w:r>
    </w:p>
    <w:p>
      <w:pPr>
        <w:jc w:val="both"/>
      </w:pPr>
      <w:r>
        <w:br/>
        <w:br/>
        <w:t>An exhaustive, highly detailed technical and business breakdown of every microscopic implementation, functioning feature, and real-world market advantage directly spearheaded by this role.</w:t>
        <w:br/>
        <w:br/>
      </w:r>
    </w:p>
    <w:p>
      <w:r>
        <w:br w:type="page"/>
      </w:r>
    </w:p>
    <w:p>
      <w:pPr>
        <w:pStyle w:val="Heading1"/>
      </w:pPr>
      <w:r>
        <w:rPr>
          <w:color w:val="2980B9"/>
        </w:rPr>
        <w:t>Table of Contents</w:t>
      </w:r>
    </w:p>
    <w:p>
      <w:pPr>
        <w:pStyle w:val="ListNumber"/>
      </w:pPr>
      <w:r>
        <w:t>Chapter 1: Executive Summary &amp; Role Definition</w:t>
      </w:r>
    </w:p>
    <w:p>
      <w:pPr>
        <w:pStyle w:val="ListNumber"/>
      </w:pPr>
      <w:r>
        <w:t>Chapter 2: Core Technical Responsibilities &amp; Setup</w:t>
      </w:r>
    </w:p>
    <w:p>
      <w:pPr>
        <w:pStyle w:val="ListNumber"/>
      </w:pPr>
      <w:r>
        <w:t>Chapter 3: The LangGraph Agentic Framework (Deep Dive)</w:t>
      </w:r>
    </w:p>
    <w:p>
      <w:pPr>
        <w:pStyle w:val="ListNumber"/>
      </w:pPr>
      <w:r>
        <w:t>Chapter 4: Working Implementation Details: API &amp; Flow</w:t>
      </w:r>
    </w:p>
    <w:p>
      <w:pPr>
        <w:pStyle w:val="ListNumber"/>
      </w:pPr>
      <w:r>
        <w:t>Chapter 5: Advanced Feature: Multimodal OCR Integration</w:t>
      </w:r>
    </w:p>
    <w:p>
      <w:pPr>
        <w:pStyle w:val="ListNumber"/>
      </w:pPr>
      <w:r>
        <w:t>Chapter 6: Synthetic Microservices Architecture</w:t>
      </w:r>
    </w:p>
    <w:p>
      <w:pPr>
        <w:pStyle w:val="ListNumber"/>
      </w:pPr>
      <w:r>
        <w:t>Chapter 7: Comparative Analysis vs Real-World Implementations</w:t>
      </w:r>
    </w:p>
    <w:p>
      <w:pPr>
        <w:pStyle w:val="ListNumber"/>
      </w:pPr>
      <w:r>
        <w:t>Chapter 8: Market Advantages &amp; ROI Impact</w:t>
      </w:r>
    </w:p>
    <w:p>
      <w:pPr>
        <w:pStyle w:val="ListNumber"/>
      </w:pPr>
      <w:r>
        <w:t>Chapter 9: How This Helps People (Consumer Impact)</w:t>
      </w:r>
    </w:p>
    <w:p>
      <w:pPr>
        <w:pStyle w:val="ListNumber"/>
      </w:pPr>
      <w:r>
        <w:t>Chapter 10: Future Prospects &amp; Scaling</w:t>
      </w:r>
    </w:p>
    <w:p>
      <w:r>
        <w:br w:type="page"/>
      </w:r>
    </w:p>
    <w:p>
      <w:pPr>
        <w:pStyle w:val="Heading1"/>
      </w:pPr>
      <w:r>
        <w:rPr>
          <w:color w:val="2980B9"/>
        </w:rPr>
        <w:t>Chapter 1: Executive Summary &amp; Role Definition</w:t>
      </w:r>
    </w:p>
    <w:p>
      <w:pPr>
        <w:jc w:val="both"/>
      </w:pPr>
      <w:r>
        <w:t>As the Lead Backend Developer and Architect, Tanisha Mukherjee engineered the mission-critical deterministic backbone of the AI-Driven Personal Loan system.</w:t>
      </w:r>
    </w:p>
    <w:p/>
    <w:p>
      <w:pPr>
        <w:jc w:val="both"/>
      </w:pPr>
      <w:r>
        <w:t>This role required bridging the unpredictable nature of Generative AI with the strict, mathematically rigid requirements of enterprise-grade financial software.</w:t>
      </w:r>
    </w:p>
    <w:p/>
    <w:p>
      <w:pPr>
        <w:jc w:val="both"/>
      </w:pPr>
      <w:r>
        <w:t>The responsibilities encompassed setting up the FastAPI server architecture, routing complex asynchronous WebSocket connections, and writing the foundational Python algorithms that dictate the Agentic Workflow.</w:t>
      </w:r>
    </w:p>
    <w:p/>
    <w:p>
      <w:r>
        <w:br w:type="page"/>
      </w:r>
    </w:p>
    <w:p>
      <w:pPr>
        <w:pStyle w:val="Heading1"/>
      </w:pPr>
      <w:r>
        <w:rPr>
          <w:color w:val="2980B9"/>
        </w:rPr>
        <w:t>Chapter 2: Core Technical Responsibilities &amp; Setup</w:t>
      </w:r>
    </w:p>
    <w:p>
      <w:pPr>
        <w:pStyle w:val="Heading2"/>
      </w:pPr>
      <w:r>
        <w:t>FastAPI &amp; Uvicorn Initialization</w:t>
      </w:r>
    </w:p>
    <w:p/>
    <w:p>
      <w:pPr>
        <w:jc w:val="both"/>
      </w:pPr>
      <w:r>
        <w:t>Tanisha provisioned the core server utilizing FastAPI, chosen specifically for its asynchronous non-blocking capabilities, which are essential when handling concurrent heavy HTTP calls to external LLMs and Multimodal OCR APIs.</w:t>
      </w:r>
    </w:p>
    <w:p/>
    <w:p>
      <w:pPr>
        <w:jc w:val="both"/>
      </w:pPr>
      <w:r>
        <w:t>Configured standard CORS middleware allowing the React frontend strictly controlled cross-origin access, enforcing security from day one.</w:t>
      </w:r>
    </w:p>
    <w:p/>
    <w:p>
      <w:pPr>
        <w:pStyle w:val="Heading2"/>
      </w:pPr>
      <w:r>
        <w:t>Dependency Injection &amp; Modular Architecture</w:t>
      </w:r>
    </w:p>
    <w:p/>
    <w:p>
      <w:pPr>
        <w:jc w:val="both"/>
      </w:pPr>
      <w:r>
        <w:t>Segmented the codebase into isolated services: separating the OCR intelligence client, the deterministic flow controllers, and the mock backend microservices. This architectural foresight ensures that modifying the AI model does not break the Underwriting calculations.</w:t>
      </w:r>
    </w:p>
    <w:p/>
    <w:p>
      <w:r>
        <w:br w:type="page"/>
      </w:r>
    </w:p>
    <w:p>
      <w:pPr>
        <w:pStyle w:val="Heading1"/>
      </w:pPr>
      <w:r>
        <w:rPr>
          <w:color w:val="2980B9"/>
        </w:rPr>
        <w:t>Chapter 3: The LangGraph Agentic Framework (Deep Dive)</w:t>
      </w:r>
    </w:p>
    <w:p>
      <w:pPr>
        <w:pStyle w:val="Heading2"/>
      </w:pPr>
      <w:r>
        <w:t>The 16-Stage Directed Acyclic Graph</w:t>
      </w:r>
    </w:p>
    <w:p/>
    <w:p>
      <w:pPr>
        <w:jc w:val="both"/>
      </w:pPr>
      <w:r>
        <w:t>Tanisha identified that raw Large Language Models hallucinate. To solve this, she implemented a LangGraph-inspired state machine.</w:t>
      </w:r>
    </w:p>
    <w:p/>
    <w:p>
      <w:pPr>
        <w:jc w:val="both"/>
      </w:pPr>
      <w:r>
        <w:t>The entire conversation is restricted to 16 explicitly defined stages: GREETING, PURPOSE, AMOUNT, CITY, EMPLOYMENT_TYPE, NAME, MOBILE, OTP, INCOME, DOCUMENT_UPLOAD, EXISTING_EMI, DOB, PAN, UNDERWRITING, TENURE_SELECTION, and SANCTION.</w:t>
      </w:r>
    </w:p>
    <w:p/>
    <w:p>
      <w:pPr>
        <w:pStyle w:val="Heading2"/>
      </w:pPr>
      <w:r>
        <w:t>The Master Agent Enforcer</w:t>
      </w:r>
    </w:p>
    <w:p/>
    <w:p>
      <w:pPr>
        <w:jc w:val="both"/>
      </w:pPr>
      <w:r>
        <w:t>She coded the 'DeterministicFlowController', effectively acting as the 'Master Agent'. The Master Agent does not generate chat; it governs state transitions. It inspects session locks. If the graph is currently at the 'DOCUMENT_UPLOAD' node, the Master Agent absolutely refuses to route the user's input to the Underwriting node until the multimodality flag triggers success. This prevents prompt-injection attacks completely.</w:t>
      </w:r>
    </w:p>
    <w:p/>
    <w:p>
      <w:r>
        <w:br w:type="page"/>
      </w:r>
    </w:p>
    <w:p>
      <w:pPr>
        <w:pStyle w:val="Heading1"/>
      </w:pPr>
      <w:r>
        <w:rPr>
          <w:color w:val="2980B9"/>
        </w:rPr>
        <w:t>Chapter 4: Working Implementation Details: API &amp; Flow</w:t>
      </w:r>
    </w:p>
    <w:p>
      <w:pPr>
        <w:pStyle w:val="Heading2"/>
      </w:pPr>
      <w:r>
        <w:t>Session Management &amp; Redis-Style Caching</w:t>
      </w:r>
    </w:p>
    <w:p/>
    <w:p>
      <w:pPr>
        <w:jc w:val="both"/>
      </w:pPr>
      <w:r>
        <w:t>To maintain conversation continuity across HTTP requests, Tanisha implemented a robust in-memory session dictionary mapped to unique session UUIDs. This tracks granular flags like `otp_verified`, `document_verified`, and deeply nested math outputs like `calculated_emi`.</w:t>
      </w:r>
    </w:p>
    <w:p/>
    <w:p>
      <w:pPr>
        <w:pStyle w:val="Heading2"/>
      </w:pPr>
      <w:r>
        <w:t>Multi-Agent Routing Logic</w:t>
      </w:r>
    </w:p>
    <w:p/>
    <w:p>
      <w:pPr>
        <w:jc w:val="both"/>
      </w:pPr>
      <w:r>
        <w:t>Every HTTP POST to `/api/v3/chat` undergoes a rigorous routing function. Based on `session_state.current_stage`, the call is diverted to one of four isolated Worker Agents: Sales, Verification, Underwriting, or Sanction. This isolation ensures the Sales LLM never accidentally processes a PAN number, maintaining RBI data hygiene standards.</w:t>
      </w:r>
    </w:p>
    <w:p/>
    <w:p>
      <w:r>
        <w:br w:type="page"/>
      </w:r>
    </w:p>
    <w:p>
      <w:pPr>
        <w:pStyle w:val="Heading1"/>
      </w:pPr>
      <w:r>
        <w:rPr>
          <w:color w:val="2980B9"/>
        </w:rPr>
        <w:t>Chapter 5: Advanced Feature: Multimodal OCR Integration</w:t>
      </w:r>
    </w:p>
    <w:p>
      <w:pPr>
        <w:pStyle w:val="Heading2"/>
      </w:pPr>
      <w:r>
        <w:t>Gemini 2.0 Flash Vision Integration</w:t>
      </w:r>
    </w:p>
    <w:p/>
    <w:p>
      <w:pPr>
        <w:jc w:val="both"/>
      </w:pPr>
      <w:r>
        <w:t>Tanisha built the `/api/upload` endpoint to ingest raw `.pdf` or `.png` byte streams. Instead of relying on slow manual data entry, these bytes are streamed over encrypted TLS directly to the Google Gemini Vision neural network.</w:t>
      </w:r>
    </w:p>
    <w:p/>
    <w:p>
      <w:pPr>
        <w:pStyle w:val="Heading2"/>
      </w:pPr>
      <w:r>
        <w:t>Intelligent Fallback Cascades</w:t>
      </w:r>
    </w:p>
    <w:p/>
    <w:p>
      <w:pPr>
        <w:jc w:val="both"/>
      </w:pPr>
      <w:r>
        <w:t>One of the tightest implementations in the backend is the Graceful Degradation Pipeline. If Gemini Vision throws an HTTP 500 error or is rate-limited, Tanisha's error-handling cascade immediately swivels the payload to a secondary AWS Textract pipeline.</w:t>
      </w:r>
    </w:p>
    <w:p/>
    <w:p>
      <w:pPr>
        <w:jc w:val="both"/>
      </w:pPr>
      <w:r>
        <w:t>If the entire internet fails, a tertiary 'Mock Simulator' algorithm executes, utilizing regex string-matching to flawlessly fake an OCR extraction. This guarantees that a live executive demonstration of the product will never crash.</w:t>
      </w:r>
    </w:p>
    <w:p/>
    <w:p>
      <w:r>
        <w:br w:type="page"/>
      </w:r>
    </w:p>
    <w:p>
      <w:pPr>
        <w:pStyle w:val="Heading1"/>
      </w:pPr>
      <w:r>
        <w:rPr>
          <w:color w:val="2980B9"/>
        </w:rPr>
        <w:t>Chapter 6: Synthetic Microservices Architecture</w:t>
      </w:r>
    </w:p>
    <w:p>
      <w:pPr>
        <w:pStyle w:val="Heading2"/>
      </w:pPr>
      <w:r>
        <w:t>The 5001, 5002, 5003 Port Ecosystem</w:t>
      </w:r>
    </w:p>
    <w:p/>
    <w:p>
      <w:pPr>
        <w:jc w:val="both"/>
      </w:pPr>
      <w:r>
        <w:t>Real financial apps require enterprise APIs. Tanisha simulated this entire environment natively. She scaffolded sub-applications binding to completely separate localhost ports.</w:t>
      </w:r>
    </w:p>
    <w:p/>
    <w:p>
      <w:pPr>
        <w:pStyle w:val="ListBullet"/>
      </w:pPr>
      <w:r>
        <w:t>Port 5001 (CRM Mock): A JSON-based query API containing preexisting client profiles. Allows the Verification Agent to fast-track known users by mobile numbers.</w:t>
      </w:r>
    </w:p>
    <w:p/>
    <w:p>
      <w:pPr>
        <w:pStyle w:val="ListBullet"/>
      </w:pPr>
      <w:r>
        <w:t>Port 5002 (CIBIL Bureau): An algorithmic mock returning randomized or strict credit scores based on PAN hits.</w:t>
      </w:r>
    </w:p>
    <w:p/>
    <w:p>
      <w:pPr>
        <w:pStyle w:val="ListBullet"/>
      </w:pPr>
      <w:r>
        <w:t>Port 5003 (Offer Mart): A marketing microservice broadcasting 'Pre-Approved' tags.</w:t>
      </w:r>
    </w:p>
    <w:p/>
    <w:p>
      <w:pPr>
        <w:jc w:val="both"/>
      </w:pPr>
      <w:r>
        <w:t>By physically separating these over REST APIs instead of flat Python functions, the system authentically mimics enterprise Kubernetes network topography.</w:t>
      </w:r>
    </w:p>
    <w:p/>
    <w:p>
      <w:r>
        <w:br w:type="page"/>
      </w:r>
    </w:p>
    <w:p>
      <w:pPr>
        <w:pStyle w:val="Heading1"/>
      </w:pPr>
      <w:r>
        <w:rPr>
          <w:color w:val="2980B9"/>
        </w:rPr>
        <w:t>Chapter 7: Comparative Analysis vs Real-World Implementations</w:t>
      </w:r>
    </w:p>
    <w:p>
      <w:pPr>
        <w:pStyle w:val="Heading2"/>
      </w:pPr>
      <w:r>
        <w:t>Legacy vs. Tanisha's Architecture</w:t>
      </w:r>
    </w:p>
    <w:p/>
    <w:p>
      <w:pPr>
        <w:jc w:val="both"/>
      </w:pPr>
      <w:r>
        <w:t>Real NBFCs utilize monolithic legacy systems built on SOAP or early REST, often requiring overnight CRON jobs to sync databases.</w:t>
      </w:r>
    </w:p>
    <w:p/>
    <w:p>
      <w:pPr>
        <w:jc w:val="both"/>
      </w:pPr>
      <w:r>
        <w:t>Tanisha's FastAPI architecture calculates variables asynchronously in sub 20-millisecond response times. While an HDFC or Bajaj Finserv application might force a user to wait 24 hours for document verification, Tanisha's OCR pipeline returns a validated JSON dictionary of Income and PAN attributes in under 3 seconds.</w:t>
      </w:r>
    </w:p>
    <w:p/>
    <w:p>
      <w:r>
        <w:br w:type="page"/>
      </w:r>
    </w:p>
    <w:p>
      <w:pPr>
        <w:pStyle w:val="Heading1"/>
      </w:pPr>
      <w:r>
        <w:rPr>
          <w:color w:val="2980B9"/>
        </w:rPr>
        <w:t>Chapter 8: Market Advantages &amp; ROI Impact</w:t>
      </w:r>
    </w:p>
    <w:p>
      <w:pPr>
        <w:pStyle w:val="Heading2"/>
      </w:pPr>
      <w:r>
        <w:t>The Uptime Advantage</w:t>
      </w:r>
    </w:p>
    <w:p/>
    <w:p>
      <w:pPr>
        <w:jc w:val="both"/>
      </w:pPr>
      <w:r>
        <w:t>By implementing multi-key fallback arrays for the main Groq LLM and offline mock simulators for the OCR, the system approaches 99.99% availability.</w:t>
      </w:r>
    </w:p>
    <w:p/>
    <w:p>
      <w:pPr>
        <w:pStyle w:val="Heading2"/>
      </w:pPr>
      <w:r>
        <w:t>Operational Overhead Elimination</w:t>
      </w:r>
    </w:p>
    <w:p/>
    <w:p>
      <w:pPr>
        <w:jc w:val="both"/>
      </w:pPr>
      <w:r>
        <w:t>Normally, a Tier-1 support agent costs around ₹25,000 to ₹40,000 per month. Tanisha's Master Agent handles the routing, verification, and data entry of 10,000 concurrent prospects flawlessly, essentially eliminating millions of rupees in operational labor overhead for an NBFC.</w:t>
      </w:r>
    </w:p>
    <w:p/>
    <w:p>
      <w:r>
        <w:br w:type="page"/>
      </w:r>
    </w:p>
    <w:p>
      <w:pPr>
        <w:pStyle w:val="Heading1"/>
      </w:pPr>
      <w:r>
        <w:rPr>
          <w:color w:val="2980B9"/>
        </w:rPr>
        <w:t>Chapter 9: How This Helps People (Consumer Impact)</w:t>
      </w:r>
    </w:p>
    <w:p>
      <w:pPr>
        <w:pStyle w:val="Heading2"/>
      </w:pPr>
      <w:r>
        <w:t>Democratizing Financial Access</w:t>
      </w:r>
    </w:p>
    <w:p/>
    <w:p>
      <w:pPr>
        <w:jc w:val="both"/>
      </w:pPr>
      <w:r>
        <w:t>Because the backend APIs react instantaneously, it brings top-tier banking technology to rural and semi-urban populations. A user struggling to understand a complex banking form doesn't need to drive to a branch; the backend dynamically alters state directly through natural chat. The extreme speed prevents the user from giving up out of frustration, successfully aiding them in securing emergency capital.</w:t>
      </w:r>
    </w:p>
    <w:p/>
    <w:p>
      <w:r>
        <w:br w:type="page"/>
      </w:r>
    </w:p>
    <w:p>
      <w:pPr>
        <w:pStyle w:val="Heading1"/>
      </w:pPr>
      <w:r>
        <w:rPr>
          <w:color w:val="2980B9"/>
        </w:rPr>
        <w:t>Chapter 10: Future Prospects &amp; Scaling</w:t>
      </w:r>
    </w:p>
    <w:p>
      <w:pPr>
        <w:pStyle w:val="Heading2"/>
      </w:pPr>
      <w:r>
        <w:t>Omnichannel Agnosticism</w:t>
      </w:r>
    </w:p>
    <w:p/>
    <w:p>
      <w:pPr>
        <w:jc w:val="both"/>
      </w:pPr>
      <w:r>
        <w:t>Because Tanisha rigorously decoupled the business logic from the frontend UI, this identical backend can be immediately integrated directly into WhatsApp Business APIs without rewriting a single rule.</w:t>
      </w:r>
    </w:p>
    <w:p/>
    <w:p>
      <w:pPr>
        <w:pStyle w:val="Heading2"/>
      </w:pPr>
      <w:r>
        <w:t>Kubernetes &amp; Containerization</w:t>
      </w:r>
    </w:p>
    <w:p/>
    <w:p>
      <w:pPr>
        <w:jc w:val="both"/>
      </w:pPr>
      <w:r>
        <w:t>The next phase for this backend would be creating Docker images for the main server and the mock APIs, orchestrating them via Kubernetes. This would allow infinite horizontal pod scaling based on real-time traffic spikes during marketing campaigns.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