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and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`c(11, 22, 31, 42)`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`c(11, 22, 10, 20)`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`c(11, 22)`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`NA` represents missing or unavailable data with a specific mode, whereas `NULL` represents the empty object of length zero.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`NA` has length zero, while `NULL` retains a length of one with logical mode.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Both `NA` and `NULL` can be stored as individual elements inside a standard atomic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`is.null()` returns TRUE for a vector containing an element defined as `NA`.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`apply(X, MARGIN = 1,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`apply(X, MARGIN = 2,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`apply(X, MARGIN = c(1, 2),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`lapply(X, FUN = mean)`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It stores the underlying memory addresses of the data frame.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It defines the complete set of valid discrete categorical values that the factor can represent.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It determines whether the factor allows floating-point numerical operations.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It converts the categorical values into continuous probability densities.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`cbind()`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`merge()`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`join()`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`rbind()`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By inspecting the `class` attribute of the primary argument and invoking `generic.classname()` via `UseMethod()`.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By compiling a dispatch lookup table via strict XML schema definitions.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By checking the slot names declared inside `setClass()`.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By executing all methods defined in the global environment sequentially.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`read.table()` with `sep = ','` (or `read.csv()`)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`scan()` with `what = 'binary'`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`load()`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`source()`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`lm(y ~ x, method = 'logistic')`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`glm(y ~ x, family = binomial(link = 'logit'))`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`nls(y ~ x, family = 'binary')`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`logistic.fit(x, y)`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30.6%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98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6.1%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25.5%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53.1%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15.3%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98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