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AUTONOMOUS INSTITUTE OF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SEMESTER END EXAMINATION - 2025-2026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 &amp; Engineering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CS204 - Data Structures &amp; Algorithms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2025-2026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questions clearly.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Big-O notation and explain its significance in asymptotic analysis.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internal representation and utility of factors in R. Describe how frequency tables and cross-tabulations are constructed and analyzed using `table()`, `prop.table()`, and `margin.table()` with practical code demonstrations.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Compare the S3 and S4 object systems in R using appropriate architectural criteria. Discuss their differences in formal class definition, type validation, method dispatch, and slot encapsulation.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theoretical assumptions underlying classical Ordinary Least Squares (OLS) linear regression. Describe how each assumption is diagnosed in R using residual plots, the Shapiro-Wilk test, and the Durbin-Watson statistic.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internal representation and utility of factors in R. Describe how frequency tables and cross-tabulations are constructed and analyzed using `table()`, `prop.table()`, and `margin.table()` with practical code demonstrations.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6.7%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40.0%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CO3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Application to Algorithmic Problems &amp;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40.0%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CO4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Performance Analysis, Complexity &amp; Trade-offs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6.7%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CO5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Critical Evaluation &amp; Architectural Formulations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6.7%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6.7%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28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93.3%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